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C7681" w14:textId="0BFA06D8" w:rsidR="00B77F94" w:rsidRDefault="00AF3073">
      <w:r>
        <w:t xml:space="preserve">April </w:t>
      </w:r>
      <w:r w:rsidR="004D63ED">
        <w:t>11</w:t>
      </w:r>
      <w:r w:rsidR="001E0C42">
        <w:t>, 2022</w:t>
      </w:r>
    </w:p>
    <w:p w14:paraId="6083F14C" w14:textId="40CCDCE2" w:rsidR="001E0C42" w:rsidRDefault="001E0C42"/>
    <w:p w14:paraId="0E428FA3" w14:textId="2DF247CF" w:rsidR="001E0C42" w:rsidRDefault="001E0C42">
      <w:r>
        <w:t>Vanessa A. Country</w:t>
      </w:r>
      <w:r w:rsidR="003146A5">
        <w:t>man</w:t>
      </w:r>
    </w:p>
    <w:p w14:paraId="33B0E6BB" w14:textId="4F1E831A" w:rsidR="001E0C42" w:rsidRDefault="001E0C42">
      <w:r>
        <w:t>Securities and Exchange Commission</w:t>
      </w:r>
    </w:p>
    <w:p w14:paraId="60985B3A" w14:textId="2F8D6E44" w:rsidR="001E0C42" w:rsidRDefault="001E0C42">
      <w:r>
        <w:t>100 F St NE</w:t>
      </w:r>
    </w:p>
    <w:p w14:paraId="5FCBED5C" w14:textId="1D49F43B" w:rsidR="001E0C42" w:rsidRDefault="001E0C42">
      <w:r>
        <w:t>Washington, DC 20549</w:t>
      </w:r>
    </w:p>
    <w:p w14:paraId="392B3A26" w14:textId="4A629EEB" w:rsidR="001E0C42" w:rsidRDefault="001E0C42"/>
    <w:p w14:paraId="4477726A" w14:textId="0D3BE216" w:rsidR="001E0C42" w:rsidRDefault="001E0C42">
      <w:r>
        <w:t>Re: Money Market Reforms (File No: S7-22-21)</w:t>
      </w:r>
    </w:p>
    <w:p w14:paraId="4D5D1EB6" w14:textId="08701937" w:rsidR="001E0C42" w:rsidRDefault="001E0C42"/>
    <w:p w14:paraId="4F841870" w14:textId="1C777FAC" w:rsidR="001E0C42" w:rsidRDefault="001E0C42">
      <w:r>
        <w:t>Secretary Countryman,</w:t>
      </w:r>
    </w:p>
    <w:p w14:paraId="2F69A2CE" w14:textId="029790F5" w:rsidR="001E0C42" w:rsidRDefault="001E0C42"/>
    <w:p w14:paraId="0BA0AB7F" w14:textId="00194238" w:rsidR="001E0C42" w:rsidRDefault="00356173">
      <w:r>
        <w:t xml:space="preserve">The Americans for Financial Reform Education Fund </w:t>
      </w:r>
      <w:r w:rsidR="00A750F2">
        <w:t xml:space="preserve">appreciates this opportunity to comment on the </w:t>
      </w:r>
      <w:r w:rsidR="001E2BB6">
        <w:t>Securities</w:t>
      </w:r>
      <w:r w:rsidR="00A750F2">
        <w:t xml:space="preserve"> and Exchange Commission’s (the “Commission”) proposal to reform the $</w:t>
      </w:r>
      <w:r w:rsidR="001E161A">
        <w:t>4.64</w:t>
      </w:r>
      <w:r w:rsidR="00A750F2">
        <w:t xml:space="preserve"> trillion Money Market Mutual Fund </w:t>
      </w:r>
      <w:r w:rsidR="00FE67C6">
        <w:t xml:space="preserve">(MMMF) </w:t>
      </w:r>
      <w:r w:rsidR="00A750F2">
        <w:t>market</w:t>
      </w:r>
      <w:r w:rsidR="001E161A">
        <w:rPr>
          <w:rStyle w:val="FootnoteReference"/>
        </w:rPr>
        <w:footnoteReference w:id="1"/>
      </w:r>
      <w:r w:rsidR="00A750F2">
        <w:t xml:space="preserve"> which has had to be bailed out by policymakers twice in the last 12 years.</w:t>
      </w:r>
    </w:p>
    <w:p w14:paraId="4091021B" w14:textId="160A9A2E" w:rsidR="00A750F2" w:rsidRDefault="00A750F2"/>
    <w:p w14:paraId="2FC99E6B" w14:textId="4D2F22CD" w:rsidR="00A750F2" w:rsidRDefault="00D40584">
      <w:r>
        <w:t xml:space="preserve">As the sudden outflows from Money Market Mutual Funds in March 2020 and September 2008 have shown, </w:t>
      </w:r>
      <w:r w:rsidR="00FE67C6">
        <w:t xml:space="preserve">MMMFs </w:t>
      </w:r>
      <w:r w:rsidR="007F32BA">
        <w:t>are higher-yielding alternatives to bank deposits</w:t>
      </w:r>
      <w:r w:rsidR="00E74FA6">
        <w:t>,</w:t>
      </w:r>
      <w:r w:rsidR="007F32BA">
        <w:t xml:space="preserve"> but in times of economic stress face the possibility of capital losses </w:t>
      </w:r>
      <w:r w:rsidR="00B730EB">
        <w:t xml:space="preserve">because </w:t>
      </w:r>
      <w:r w:rsidR="007F32BA">
        <w:t xml:space="preserve">they </w:t>
      </w:r>
      <w:r w:rsidR="005D3DFB">
        <w:t xml:space="preserve">are primarily invested in illiquid, short-term securities and </w:t>
      </w:r>
      <w:r w:rsidR="007F32BA">
        <w:t>are not insured by the Federal Deposit Insurance Corporation (FDIC)</w:t>
      </w:r>
      <w:r w:rsidR="00F26AD7">
        <w:t>.</w:t>
      </w:r>
    </w:p>
    <w:p w14:paraId="3BA32736" w14:textId="455E6E74" w:rsidR="00F26AD7" w:rsidRDefault="00F26AD7"/>
    <w:p w14:paraId="285CD713" w14:textId="595C79ED" w:rsidR="00F26AD7" w:rsidRDefault="00F26AD7" w:rsidP="00F26AD7">
      <w:r>
        <w:t xml:space="preserve">Money market mutual funds have received significant inflows </w:t>
      </w:r>
      <w:r w:rsidR="004D63ED">
        <w:t xml:space="preserve">as bank deposit-like substitutes </w:t>
      </w:r>
      <w:r>
        <w:t xml:space="preserve">over the past few decades </w:t>
      </w:r>
      <w:r w:rsidR="00E74FA6">
        <w:t>due in large part to</w:t>
      </w:r>
      <w:r>
        <w:t xml:space="preserve"> the lighter regulatory requirements they are subject to compared to banks. However, </w:t>
      </w:r>
      <w:r w:rsidR="00E74FA6">
        <w:t xml:space="preserve">in March 2020, </w:t>
      </w:r>
      <w:r>
        <w:t xml:space="preserve">after </w:t>
      </w:r>
      <w:r w:rsidR="00E74FA6">
        <w:t>the second</w:t>
      </w:r>
      <w:r>
        <w:t xml:space="preserve"> bailout in</w:t>
      </w:r>
      <w:r w:rsidR="00E74FA6">
        <w:t xml:space="preserve"> just</w:t>
      </w:r>
      <w:r>
        <w:t xml:space="preserve"> 12 years</w:t>
      </w:r>
      <w:r w:rsidR="00E74FA6">
        <w:t>, via</w:t>
      </w:r>
      <w:r>
        <w:t xml:space="preserve"> the Federal Reserve’s Money Market Mutual Fund Liquidity Facility, it has become apparent that MMMFs </w:t>
      </w:r>
      <w:r w:rsidR="004D63ED">
        <w:t>have been unfairly benefitting from</w:t>
      </w:r>
      <w:r>
        <w:t xml:space="preserve"> an implicit government guarantee without being subject to FDIC and Global Systemically Important Bank (G-SIB) surcharges that the banks </w:t>
      </w:r>
      <w:r w:rsidR="00E74FA6">
        <w:t>with which t</w:t>
      </w:r>
      <w:r w:rsidR="004D63ED">
        <w:t xml:space="preserve">hey compete must </w:t>
      </w:r>
      <w:r>
        <w:t>pay</w:t>
      </w:r>
      <w:r w:rsidR="004D63ED">
        <w:t xml:space="preserve"> for</w:t>
      </w:r>
      <w:r>
        <w:t xml:space="preserve">. </w:t>
      </w:r>
    </w:p>
    <w:p w14:paraId="1DC960DB" w14:textId="51957585" w:rsidR="008F40AE" w:rsidRDefault="008F40AE"/>
    <w:p w14:paraId="6DCA3F7D" w14:textId="24B51847" w:rsidR="008F40AE" w:rsidRDefault="008F40AE">
      <w:r>
        <w:t xml:space="preserve">To create more resilient Money Market Mutual Funds, the Commission should amend Rule 2a-7 and require higher liquidity buffers, extend floating </w:t>
      </w:r>
      <w:r w:rsidR="00C31342">
        <w:t>Net Asset Values (</w:t>
      </w:r>
      <w:r>
        <w:t>NAVs</w:t>
      </w:r>
      <w:r w:rsidR="00C31342">
        <w:t>)</w:t>
      </w:r>
      <w:r>
        <w:t xml:space="preserve"> to government funds, implement swing pricing to end the incentives for investors to be the first to sell, and expand Form N-CR reporting to better disclose fund returns from special, temporary sources. </w:t>
      </w:r>
    </w:p>
    <w:p w14:paraId="1E10D774" w14:textId="07263F88" w:rsidR="007F32BA" w:rsidRDefault="007F32BA"/>
    <w:p w14:paraId="10E48357" w14:textId="63A2C82D" w:rsidR="003146A5" w:rsidRDefault="005D3DFB">
      <w:pPr>
        <w:rPr>
          <w:b/>
          <w:bCs/>
        </w:rPr>
      </w:pPr>
      <w:r w:rsidRPr="003146A5">
        <w:rPr>
          <w:b/>
          <w:bCs/>
        </w:rPr>
        <w:t xml:space="preserve">Greater liquidity buffers will </w:t>
      </w:r>
      <w:r w:rsidR="003146A5" w:rsidRPr="003146A5">
        <w:rPr>
          <w:b/>
          <w:bCs/>
        </w:rPr>
        <w:t>better protect fund investors</w:t>
      </w:r>
    </w:p>
    <w:p w14:paraId="75FB2F44" w14:textId="77777777" w:rsidR="00F26AD7" w:rsidRDefault="00F26AD7"/>
    <w:p w14:paraId="7E0353FB" w14:textId="54DDA826" w:rsidR="003146A5" w:rsidRDefault="003146A5">
      <w:r>
        <w:lastRenderedPageBreak/>
        <w:t>We support the Commission’s propos</w:t>
      </w:r>
      <w:r w:rsidR="00F26AD7">
        <w:t>ed</w:t>
      </w:r>
      <w:r w:rsidR="004371DB">
        <w:t xml:space="preserve"> </w:t>
      </w:r>
      <w:r>
        <w:t>changes to Rule 2a-7 that would raise MMMF’s daily liquidity buffers to 25% of total assets from 10% and weekly liquidity buffers to 50% from 30%</w:t>
      </w:r>
      <w:r w:rsidR="00393465">
        <w:t>.</w:t>
      </w:r>
    </w:p>
    <w:p w14:paraId="02FE674C" w14:textId="74CD7605" w:rsidR="00145437" w:rsidRDefault="00145437"/>
    <w:p w14:paraId="29408D1C" w14:textId="38E297C8" w:rsidR="00145437" w:rsidRDefault="00145437">
      <w:r>
        <w:t>Th</w:t>
      </w:r>
      <w:r w:rsidR="00F26AD7">
        <w:t>e</w:t>
      </w:r>
      <w:r>
        <w:t xml:space="preserve">se thresholds would have withstood the worst of the market volatility. </w:t>
      </w:r>
      <w:r w:rsidR="00F26AD7">
        <w:t xml:space="preserve">As the Commission notes, </w:t>
      </w:r>
      <w:r w:rsidR="00360FA4">
        <w:t xml:space="preserve">he largest weekly redemption experienced by an institutional prime fund in March 2020 was 55% while </w:t>
      </w:r>
      <w:r w:rsidR="002107BF">
        <w:t xml:space="preserve">the </w:t>
      </w:r>
      <w:r w:rsidR="00360FA4">
        <w:t>largest daily outflow was 26%</w:t>
      </w:r>
      <w:r w:rsidR="00F26AD7">
        <w:t>.</w:t>
      </w:r>
      <w:r w:rsidR="009A2AF8">
        <w:t xml:space="preserve"> </w:t>
      </w:r>
      <w:r w:rsidR="00F26AD7">
        <w:t>As the Commission highlights, following the volatility MMMFs experienced in March 2020, average daily liquid assets rose to 44% and weekly liquid assets</w:t>
      </w:r>
      <w:r w:rsidR="009A2AF8">
        <w:t xml:space="preserve"> </w:t>
      </w:r>
      <w:r w:rsidR="00F26AD7">
        <w:t xml:space="preserve">to 56% showing these thresholds are also reasonable. </w:t>
      </w:r>
    </w:p>
    <w:p w14:paraId="7231732F" w14:textId="77777777" w:rsidR="00325884" w:rsidRDefault="00325884"/>
    <w:p w14:paraId="19F89088" w14:textId="3C6584E4" w:rsidR="004E2D2D" w:rsidRDefault="00145437">
      <w:pPr>
        <w:rPr>
          <w:b/>
          <w:bCs/>
        </w:rPr>
      </w:pPr>
      <w:r>
        <w:rPr>
          <w:b/>
          <w:bCs/>
        </w:rPr>
        <w:t>Liquidity fees and redemption gates will only amplify runs in times of stress</w:t>
      </w:r>
    </w:p>
    <w:p w14:paraId="28140802" w14:textId="1DA7EF27" w:rsidR="000B5C04" w:rsidRDefault="000B5C04">
      <w:pPr>
        <w:rPr>
          <w:b/>
          <w:bCs/>
        </w:rPr>
      </w:pPr>
    </w:p>
    <w:p w14:paraId="4E8E7A37" w14:textId="65B2EE8D" w:rsidR="00145437" w:rsidRDefault="00145437">
      <w:r>
        <w:t>We also support the Commission’s proposal</w:t>
      </w:r>
      <w:r w:rsidR="00E668DA">
        <w:t>s</w:t>
      </w:r>
      <w:r w:rsidR="009A2AF8">
        <w:t xml:space="preserve"> </w:t>
      </w:r>
      <w:r>
        <w:t>to remove liquidity fees and suspen</w:t>
      </w:r>
      <w:r w:rsidR="00E668DA">
        <w:t xml:space="preserve">d </w:t>
      </w:r>
      <w:r>
        <w:t xml:space="preserve">redemption gates as concerns over their imposition </w:t>
      </w:r>
      <w:r w:rsidR="00E668DA">
        <w:t xml:space="preserve">may </w:t>
      </w:r>
      <w:r>
        <w:t>only encourage already nervous investors to proactively redeem from Money Market Mutual Funds.</w:t>
      </w:r>
    </w:p>
    <w:p w14:paraId="442F2E51" w14:textId="6110BD74" w:rsidR="00145437" w:rsidRDefault="00145437"/>
    <w:p w14:paraId="5A40F7C9" w14:textId="2BF16999" w:rsidR="00145437" w:rsidRDefault="00145437">
      <w:r>
        <w:t xml:space="preserve">If the Commission amends Rule 2a-7 to raise the daily and weekly liquidity buffers of MMMFs, </w:t>
      </w:r>
      <w:r w:rsidR="00E668DA">
        <w:t>making them more resilient under stressed conditions</w:t>
      </w:r>
      <w:r w:rsidR="00AF3073">
        <w:t>,</w:t>
      </w:r>
      <w:r w:rsidR="00E668DA">
        <w:t xml:space="preserve"> </w:t>
      </w:r>
      <w:r>
        <w:t xml:space="preserve">there is little need to impose additional liquidity fees and redemption gates. </w:t>
      </w:r>
    </w:p>
    <w:p w14:paraId="649956F6" w14:textId="69A9FF65" w:rsidR="00145437" w:rsidRDefault="00145437"/>
    <w:p w14:paraId="39B7B257" w14:textId="4BBE69A4" w:rsidR="00145437" w:rsidRDefault="00145437">
      <w:r>
        <w:t xml:space="preserve">Prime funds that were offered to institutional investors such as pension funds, insurance companies, and hedge funds in particular saw some of the heaviest preemptive withdrawals in March 2020. </w:t>
      </w:r>
      <w:r w:rsidR="00E74FA6">
        <w:t>Even though</w:t>
      </w:r>
      <w:r>
        <w:t xml:space="preserve"> a number of those funds had weekly liquid assets greater than the 30% threshold where funds could suspend redemptions, analysis from the President’s Working Group in December 2020 suggested that investor concerns over </w:t>
      </w:r>
      <w:r w:rsidR="00A001D8">
        <w:t xml:space="preserve">their investment </w:t>
      </w:r>
      <w:r>
        <w:t>being locked up for 10 days drove many to redeem.</w:t>
      </w:r>
      <w:r>
        <w:rPr>
          <w:rStyle w:val="FootnoteReference"/>
        </w:rPr>
        <w:footnoteReference w:id="2"/>
      </w:r>
      <w:r>
        <w:t xml:space="preserve"> As a result $125 billion were withdrawn from U.S. prime money market funds in March, representing 11% of those total assets under management.</w:t>
      </w:r>
    </w:p>
    <w:p w14:paraId="34352254" w14:textId="7572C721" w:rsidR="00145437" w:rsidRDefault="00145437"/>
    <w:p w14:paraId="1A60D72C" w14:textId="62E78BAC" w:rsidR="000B5C04" w:rsidRDefault="00A001D8">
      <w:r>
        <w:t>Because</w:t>
      </w:r>
      <w:r w:rsidR="00145437">
        <w:t xml:space="preserve"> a major appeal </w:t>
      </w:r>
      <w:r w:rsidR="00E668DA">
        <w:t>of</w:t>
      </w:r>
      <w:r w:rsidR="00145437">
        <w:t xml:space="preserve"> Money Market Mutual Funds </w:t>
      </w:r>
      <w:r w:rsidR="00E668DA">
        <w:t>is</w:t>
      </w:r>
      <w:r w:rsidR="00145437">
        <w:t xml:space="preserve"> the ability to immediately redeem them for cash </w:t>
      </w:r>
      <w:r w:rsidR="00E668DA">
        <w:t xml:space="preserve">without incurring costs or </w:t>
      </w:r>
      <w:r w:rsidR="00AE1C30">
        <w:t>penalties</w:t>
      </w:r>
      <w:r w:rsidR="00E668DA">
        <w:t xml:space="preserve"> – unlike </w:t>
      </w:r>
      <w:r w:rsidR="00145437">
        <w:t>other short-term instruments where redemptions bear costs, such as Certificates of Deposits (CDs) and illiquid commercial paper</w:t>
      </w:r>
      <w:r w:rsidR="00E668DA">
        <w:t xml:space="preserve"> - </w:t>
      </w:r>
      <w:r w:rsidR="00145437">
        <w:t>the threat</w:t>
      </w:r>
      <w:r w:rsidR="00E668DA">
        <w:t>s</w:t>
      </w:r>
      <w:r w:rsidR="00145437">
        <w:t xml:space="preserve"> of redemption gates and liquidity fees </w:t>
      </w:r>
      <w:r w:rsidR="00E668DA">
        <w:t>can</w:t>
      </w:r>
      <w:r w:rsidR="003F038A">
        <w:t xml:space="preserve"> </w:t>
      </w:r>
      <w:r w:rsidR="00145437">
        <w:t xml:space="preserve">perversely incentivize MMMF investors to redeem first and ask questions later.  </w:t>
      </w:r>
    </w:p>
    <w:p w14:paraId="5B9A9183" w14:textId="53CD4400" w:rsidR="00AC47CD" w:rsidRDefault="00AC47CD"/>
    <w:p w14:paraId="04B6A60B" w14:textId="35B0D027" w:rsidR="00AC47CD" w:rsidRDefault="00AC47CD">
      <w:pPr>
        <w:rPr>
          <w:b/>
          <w:bCs/>
        </w:rPr>
      </w:pPr>
      <w:r w:rsidRPr="00AC47CD">
        <w:rPr>
          <w:b/>
          <w:bCs/>
        </w:rPr>
        <w:t xml:space="preserve">Floating NAVs should be implemented across all MMMFs </w:t>
      </w:r>
    </w:p>
    <w:p w14:paraId="5B2E3F29" w14:textId="1839DD51" w:rsidR="00AC47CD" w:rsidRDefault="00AC47CD">
      <w:pPr>
        <w:rPr>
          <w:b/>
          <w:bCs/>
        </w:rPr>
      </w:pPr>
    </w:p>
    <w:p w14:paraId="7EEC2298" w14:textId="67E6302E" w:rsidR="00AC47CD" w:rsidRDefault="00AC47CD">
      <w:r>
        <w:t>A major recurring problem for Money Market Mutual Funds stem</w:t>
      </w:r>
      <w:r w:rsidR="00E668DA">
        <w:t>s</w:t>
      </w:r>
      <w:r>
        <w:t xml:space="preserve"> from the mismatch between the stable price the funds </w:t>
      </w:r>
      <w:proofErr w:type="gramStart"/>
      <w:r>
        <w:t>offer</w:t>
      </w:r>
      <w:proofErr w:type="gramEnd"/>
      <w:r>
        <w:t xml:space="preserve"> to their investors </w:t>
      </w:r>
      <w:r w:rsidR="00E668DA">
        <w:t>and the fluctuating</w:t>
      </w:r>
      <w:r w:rsidR="00AF3073">
        <w:t xml:space="preserve"> </w:t>
      </w:r>
      <w:r>
        <w:t xml:space="preserve">value of the underlying assets. </w:t>
      </w:r>
    </w:p>
    <w:p w14:paraId="13F694A0" w14:textId="75B0757E" w:rsidR="00AC47CD" w:rsidRDefault="00AC47CD"/>
    <w:p w14:paraId="0D986BE5" w14:textId="7886919D" w:rsidR="00AC47CD" w:rsidRDefault="00AC47CD">
      <w:r>
        <w:lastRenderedPageBreak/>
        <w:t xml:space="preserve">At </w:t>
      </w:r>
      <w:r w:rsidR="00E668DA">
        <w:t>their</w:t>
      </w:r>
      <w:r>
        <w:t xml:space="preserve"> core, Money Market Mutual Funds are engaging in liquidity transformation by investing in assets such as commercial paper that can be illiquid and sometimes take days to sell while offering </w:t>
      </w:r>
      <w:r w:rsidR="007E3D00">
        <w:t>their</w:t>
      </w:r>
      <w:r>
        <w:t xml:space="preserve"> own investors instant liquidity. </w:t>
      </w:r>
    </w:p>
    <w:p w14:paraId="6D2BCAA9" w14:textId="440AAF01" w:rsidR="00AC47CD" w:rsidRDefault="00AC47CD"/>
    <w:p w14:paraId="293B0044" w14:textId="390B907C" w:rsidR="00AC47CD" w:rsidRDefault="00AC47CD">
      <w:r>
        <w:t xml:space="preserve">While in calm markets, </w:t>
      </w:r>
      <w:r w:rsidR="008B5F7D">
        <w:t>the ability for investors in government MMMFs to redeem at</w:t>
      </w:r>
      <w:r>
        <w:t xml:space="preserve"> a stable share price (usually $1.00) </w:t>
      </w:r>
      <w:r w:rsidR="008B5F7D">
        <w:t>is</w:t>
      </w:r>
      <w:r>
        <w:t xml:space="preserve"> an attractive feature, by </w:t>
      </w:r>
      <w:r w:rsidR="008B5F7D">
        <w:t xml:space="preserve">instead </w:t>
      </w:r>
      <w:r>
        <w:t xml:space="preserve">subjecting them to the same floating NAVs as prime and municipal funds were subject to on October 2016 </w:t>
      </w:r>
      <w:r w:rsidR="008B5F7D">
        <w:t xml:space="preserve">investors can more clearly understand that they are investing in an asset whose underlying portfolio fluctuates daily rather than a bank deposit.  </w:t>
      </w:r>
    </w:p>
    <w:p w14:paraId="5B7227BE" w14:textId="77777777" w:rsidR="00AC47CD" w:rsidRDefault="00AC47CD"/>
    <w:p w14:paraId="475E8112" w14:textId="30FB5145" w:rsidR="00AC47CD" w:rsidRDefault="007E3D00">
      <w:r>
        <w:t>S</w:t>
      </w:r>
      <w:r w:rsidR="00AC47CD">
        <w:t xml:space="preserve">ome MMMF investors may be uncomfortable with floating NAVs, especially retail investors, but </w:t>
      </w:r>
      <w:r>
        <w:t xml:space="preserve">floating NAVs make clear </w:t>
      </w:r>
      <w:r w:rsidR="00AC47CD">
        <w:t xml:space="preserve">the differences between MMMFs and bank deposits </w:t>
      </w:r>
      <w:r>
        <w:t>leav</w:t>
      </w:r>
      <w:r w:rsidR="00A001D8">
        <w:t>ing</w:t>
      </w:r>
      <w:r>
        <w:t xml:space="preserve"> investors better </w:t>
      </w:r>
      <w:r w:rsidR="00AC47CD">
        <w:t xml:space="preserve">informed </w:t>
      </w:r>
      <w:r>
        <w:t xml:space="preserve">about </w:t>
      </w:r>
      <w:r w:rsidR="00AC47CD">
        <w:t xml:space="preserve">the tradeoffs </w:t>
      </w:r>
      <w:r>
        <w:t>between</w:t>
      </w:r>
      <w:r w:rsidR="00AF3073">
        <w:t xml:space="preserve"> </w:t>
      </w:r>
      <w:r w:rsidR="00AC47CD">
        <w:t xml:space="preserve">higher yields </w:t>
      </w:r>
      <w:r>
        <w:t xml:space="preserve">and </w:t>
      </w:r>
      <w:r w:rsidR="00AC47CD">
        <w:t>the certainty</w:t>
      </w:r>
      <w:r>
        <w:t xml:space="preserve"> of an insured deposit account.</w:t>
      </w:r>
      <w:r w:rsidR="00AC47CD">
        <w:t xml:space="preserve">  </w:t>
      </w:r>
    </w:p>
    <w:p w14:paraId="0EAA9CEE" w14:textId="42530930" w:rsidR="008F40AE" w:rsidRDefault="008F40AE"/>
    <w:p w14:paraId="06944F28" w14:textId="2D3FFD06" w:rsidR="008F40AE" w:rsidRDefault="008F40AE">
      <w:pPr>
        <w:rPr>
          <w:b/>
          <w:bCs/>
        </w:rPr>
      </w:pPr>
      <w:r w:rsidRPr="008F40AE">
        <w:rPr>
          <w:b/>
          <w:bCs/>
        </w:rPr>
        <w:t xml:space="preserve">Swing pricing should be implemented to disincentivize </w:t>
      </w:r>
      <w:r>
        <w:rPr>
          <w:b/>
          <w:bCs/>
        </w:rPr>
        <w:t>large early withdrawals</w:t>
      </w:r>
    </w:p>
    <w:p w14:paraId="0ADA94CB" w14:textId="7E8AD967" w:rsidR="008F40AE" w:rsidRDefault="008F40AE">
      <w:pPr>
        <w:rPr>
          <w:b/>
          <w:bCs/>
        </w:rPr>
      </w:pPr>
    </w:p>
    <w:p w14:paraId="2FC34452" w14:textId="525D190C" w:rsidR="008F40AE" w:rsidRDefault="00C31342">
      <w:r>
        <w:t xml:space="preserve">We support the Commission’s move to implement </w:t>
      </w:r>
      <w:r w:rsidR="00616BBF">
        <w:t xml:space="preserve">partial </w:t>
      </w:r>
      <w:r>
        <w:t xml:space="preserve">swing pricing </w:t>
      </w:r>
      <w:r w:rsidR="00616BBF">
        <w:t xml:space="preserve">which would allow MMMF managers to adjust their fund’s NAVs to incorporate the effect a large seller would have on the remaining investors in the fund.  </w:t>
      </w:r>
    </w:p>
    <w:p w14:paraId="1D3C9DF4" w14:textId="398466D1" w:rsidR="00616BBF" w:rsidRDefault="00616BBF"/>
    <w:p w14:paraId="41CAC9BE" w14:textId="53E04382" w:rsidR="00616BBF" w:rsidRDefault="00616BBF">
      <w:r>
        <w:t>In highly volatile markets, it</w:t>
      </w:r>
      <w:r w:rsidR="007E3D00">
        <w:t xml:space="preserve"> is</w:t>
      </w:r>
      <w:r>
        <w:t xml:space="preserve"> likely that many MMMFs </w:t>
      </w:r>
      <w:r w:rsidR="007E3D00">
        <w:t>will be</w:t>
      </w:r>
      <w:r>
        <w:t xml:space="preserve"> trying to sell similar assets at the same time and early sellers benefit from being able to sell at the initial NAV because that NAV does not reflect the costs of the managers having to sell additional assets at discounted prices to meet additional redemptions. </w:t>
      </w:r>
    </w:p>
    <w:p w14:paraId="6FFF7635" w14:textId="77777777" w:rsidR="00616BBF" w:rsidRDefault="00616BBF"/>
    <w:p w14:paraId="2FD0CBDE" w14:textId="50C257E9" w:rsidR="00616BBF" w:rsidRDefault="00616BBF">
      <w:proofErr w:type="gramStart"/>
      <w:r>
        <w:t>Similar to</w:t>
      </w:r>
      <w:proofErr w:type="gramEnd"/>
      <w:r>
        <w:t xml:space="preserve"> the fears of redemption gates, MMMF investors may be concerned about absorbing the costs of a manager’s sudden forced sales and preemptively decide to try and sell first, in the process creating a feedback loop of selling even though the funds have ample capital to </w:t>
      </w:r>
      <w:r w:rsidR="00E45DD8">
        <w:t>meet redemption request</w:t>
      </w:r>
      <w:r w:rsidR="002107BF">
        <w:t>s</w:t>
      </w:r>
      <w:r w:rsidR="00E45DD8">
        <w:t xml:space="preserve">. </w:t>
      </w:r>
    </w:p>
    <w:p w14:paraId="78B87ADD" w14:textId="77777777" w:rsidR="00616BBF" w:rsidRDefault="00616BBF"/>
    <w:p w14:paraId="27693D37" w14:textId="56C60818" w:rsidR="00616BBF" w:rsidRPr="008F40AE" w:rsidRDefault="007E3D00">
      <w:r>
        <w:t>P</w:t>
      </w:r>
      <w:r w:rsidR="00616BBF">
        <w:t xml:space="preserve">artial swing pricing, where NAV adjustments are only applied when transactions are made over a certain threshold compared to full swing pricing where the NAV is adjusted for all transactions, </w:t>
      </w:r>
      <w:r>
        <w:t xml:space="preserve">leaves </w:t>
      </w:r>
      <w:r w:rsidR="00616BBF">
        <w:t>investors the flexibility to redeem some capital that they may immediately need while still discouraging large preemptive redemptions.</w:t>
      </w:r>
      <w:r w:rsidR="00616BBF">
        <w:rPr>
          <w:rStyle w:val="FootnoteReference"/>
        </w:rPr>
        <w:footnoteReference w:id="3"/>
      </w:r>
      <w:r w:rsidR="00616BBF">
        <w:t xml:space="preserve"> </w:t>
      </w:r>
    </w:p>
    <w:p w14:paraId="223EBB39" w14:textId="24C67CCC" w:rsidR="008F40AE" w:rsidRDefault="008F40AE"/>
    <w:p w14:paraId="6DAE51A8" w14:textId="1A64EF56" w:rsidR="00616BBF" w:rsidRDefault="00616BBF">
      <w:r>
        <w:t xml:space="preserve">Swing pricing has found success in Europe where sell orders must be received by noon Central European Time (CET) to give the fund manager four hours from when the NAV is set to </w:t>
      </w:r>
      <w:r w:rsidR="00707A13">
        <w:t>match sell orders with any buy order and accurately</w:t>
      </w:r>
      <w:r>
        <w:t xml:space="preserve"> assess the impact of the </w:t>
      </w:r>
      <w:r w:rsidR="00707A13">
        <w:t>any additional</w:t>
      </w:r>
      <w:r>
        <w:t xml:space="preserve"> sales </w:t>
      </w:r>
      <w:r w:rsidR="00707A13">
        <w:t xml:space="preserve">it </w:t>
      </w:r>
      <w:r w:rsidR="00707A13">
        <w:lastRenderedPageBreak/>
        <w:t xml:space="preserve">would still need to conduct </w:t>
      </w:r>
      <w:r>
        <w:t>on its portfolio.</w:t>
      </w:r>
      <w:r w:rsidR="00707A13">
        <w:t xml:space="preserve"> It i</w:t>
      </w:r>
      <w:r w:rsidR="0010042C">
        <w:t>s</w:t>
      </w:r>
      <w:r w:rsidR="00707A13">
        <w:t xml:space="preserve"> worth noting that MMMFs in Europe managed to handle the market volatility seen in March 2020</w:t>
      </w:r>
      <w:r>
        <w:rPr>
          <w:rStyle w:val="FootnoteReference"/>
        </w:rPr>
        <w:footnoteReference w:id="4"/>
      </w:r>
    </w:p>
    <w:p w14:paraId="7733D3B5" w14:textId="1A4DB760" w:rsidR="00616BBF" w:rsidRDefault="00616BBF"/>
    <w:p w14:paraId="328091A7" w14:textId="068A0F2A" w:rsidR="00616BBF" w:rsidRDefault="00616BBF">
      <w:r>
        <w:t xml:space="preserve">However, to properly implement swing pricing, existing structural considerations must </w:t>
      </w:r>
      <w:r w:rsidR="007E3D00">
        <w:t xml:space="preserve">be </w:t>
      </w:r>
      <w:r>
        <w:t>carefully considered</w:t>
      </w:r>
      <w:r w:rsidR="007E3D00">
        <w:t xml:space="preserve">, </w:t>
      </w:r>
      <w:r>
        <w:t xml:space="preserve">including </w:t>
      </w:r>
      <w:r w:rsidR="007E3D00">
        <w:t xml:space="preserve">the situation of </w:t>
      </w:r>
      <w:r>
        <w:t>investor intermediaries such as 401K plan administrators wh</w:t>
      </w:r>
      <w:r w:rsidR="007E3D00">
        <w:t>o</w:t>
      </w:r>
      <w:r>
        <w:t xml:space="preserve"> currently have agreements in place to process redemption requests at a fund’s NAV as of 4PM Eastern Time. Under swing pricing, such arrangements would certainly need to be modified across </w:t>
      </w:r>
      <w:proofErr w:type="gramStart"/>
      <w:r>
        <w:t>all of</w:t>
      </w:r>
      <w:proofErr w:type="gramEnd"/>
      <w:r>
        <w:t xml:space="preserve"> the various financial intermediaries who provide capital to Money Market Mutual Funds.</w:t>
      </w:r>
    </w:p>
    <w:p w14:paraId="7B8ADF3D" w14:textId="19A3189B" w:rsidR="00616BBF" w:rsidRDefault="00616BBF"/>
    <w:p w14:paraId="20F3A616" w14:textId="33CFD609" w:rsidR="00616BBF" w:rsidRDefault="00616BBF">
      <w:r>
        <w:t xml:space="preserve">For this reason, in implementing partial swing pricing, we </w:t>
      </w:r>
      <w:r w:rsidR="009D3B86">
        <w:t>strongly urge the Commission to coordinate with the Department of Labor on its own set of rules regarding retirement plan investments in MMMFs to ensure the issues around implementation are adequately addressed.</w:t>
      </w:r>
    </w:p>
    <w:p w14:paraId="300B5A33" w14:textId="77777777" w:rsidR="004E2D2D" w:rsidRDefault="004E2D2D">
      <w:pPr>
        <w:rPr>
          <w:b/>
          <w:bCs/>
        </w:rPr>
      </w:pPr>
    </w:p>
    <w:p w14:paraId="4F4B8774" w14:textId="5B099727" w:rsidR="00CE21EA" w:rsidRPr="00DE5283" w:rsidRDefault="008B7564">
      <w:pPr>
        <w:rPr>
          <w:b/>
          <w:bCs/>
        </w:rPr>
      </w:pPr>
      <w:r>
        <w:rPr>
          <w:b/>
          <w:bCs/>
        </w:rPr>
        <w:t>SEC’s Form N-CR needs to include d</w:t>
      </w:r>
      <w:r w:rsidR="00331B15">
        <w:rPr>
          <w:b/>
          <w:bCs/>
        </w:rPr>
        <w:t xml:space="preserve">isclosure </w:t>
      </w:r>
      <w:r>
        <w:rPr>
          <w:b/>
          <w:bCs/>
        </w:rPr>
        <w:t>o</w:t>
      </w:r>
      <w:r w:rsidR="00331B15">
        <w:rPr>
          <w:b/>
          <w:bCs/>
        </w:rPr>
        <w:t>f</w:t>
      </w:r>
      <w:r>
        <w:rPr>
          <w:b/>
          <w:bCs/>
        </w:rPr>
        <w:t xml:space="preserve"> </w:t>
      </w:r>
      <w:r w:rsidR="00331B15">
        <w:rPr>
          <w:b/>
          <w:bCs/>
        </w:rPr>
        <w:t>utilization of special programs</w:t>
      </w:r>
    </w:p>
    <w:p w14:paraId="067DD5F1" w14:textId="77777777" w:rsidR="00DE5283" w:rsidRDefault="00DE5283"/>
    <w:p w14:paraId="38150255" w14:textId="1EC1F61E" w:rsidR="005C1512" w:rsidRDefault="005C1512">
      <w:r>
        <w:t xml:space="preserve">Finally, the Commission should consider including additional disclosures over Form N-CR to provide investors with greater clarity </w:t>
      </w:r>
      <w:r w:rsidR="002107BF">
        <w:t xml:space="preserve">about </w:t>
      </w:r>
      <w:r>
        <w:t xml:space="preserve">how much of the fund is invested in special programs that may be temporary and later replaced. </w:t>
      </w:r>
    </w:p>
    <w:p w14:paraId="67D28AFA" w14:textId="77777777" w:rsidR="005C1512" w:rsidRDefault="005C1512"/>
    <w:p w14:paraId="04453377" w14:textId="03E13F9E" w:rsidR="000276B6" w:rsidRDefault="00F966C0">
      <w:r>
        <w:t xml:space="preserve">Investors and regulators should be able to clearly see how much a MMMF depends on external sources of support to operate. This is because MMMFs in the current, benign low interest rate environment continue to rely on </w:t>
      </w:r>
      <w:r w:rsidR="00D52F78">
        <w:t>facilities operated by the</w:t>
      </w:r>
      <w:r>
        <w:t xml:space="preserve"> Federal Reserve</w:t>
      </w:r>
      <w:r w:rsidR="00D52F78">
        <w:t>. This comes</w:t>
      </w:r>
      <w:r w:rsidR="00B93B7D">
        <w:t xml:space="preserve"> after MMMFs </w:t>
      </w:r>
      <w:r w:rsidR="00D52F78">
        <w:t xml:space="preserve">already had to </w:t>
      </w:r>
      <w:r w:rsidR="00B93B7D">
        <w:t xml:space="preserve">borrow $58 billion under the Money Market Mutual Fund Liquidity Facility in 2020 and $200 </w:t>
      </w:r>
      <w:r w:rsidR="004475BA">
        <w:t>billion under the Asset-Backed Commercial Paper Money Market Mutual Fund Liquidity Facility (AMLF) in 2008</w:t>
      </w:r>
      <w:r w:rsidR="00D52F78">
        <w:t>.</w:t>
      </w:r>
      <w:r w:rsidR="004475BA">
        <w:rPr>
          <w:rStyle w:val="FootnoteReference"/>
        </w:rPr>
        <w:footnoteReference w:id="5"/>
      </w:r>
      <w:r w:rsidR="004475BA">
        <w:t xml:space="preserve"> </w:t>
      </w:r>
    </w:p>
    <w:p w14:paraId="7CDE33BD" w14:textId="77777777" w:rsidR="000276B6" w:rsidRDefault="000276B6"/>
    <w:p w14:paraId="5CA80C78" w14:textId="23F73983" w:rsidR="00CE21EA" w:rsidRDefault="000276B6">
      <w:r>
        <w:t xml:space="preserve">J.P. Morgan’s Fixed Income strategists </w:t>
      </w:r>
      <w:r w:rsidR="00DE2009">
        <w:t>estimate that</w:t>
      </w:r>
      <w:r>
        <w:t xml:space="preserve"> </w:t>
      </w:r>
      <w:r w:rsidR="0035225B">
        <w:t>prime MMMFs</w:t>
      </w:r>
      <w:r w:rsidR="005D2DDF">
        <w:t>,</w:t>
      </w:r>
      <w:r w:rsidR="0035225B">
        <w:t xml:space="preserve"> at the end of November 2021</w:t>
      </w:r>
      <w:r w:rsidR="005D2DDF">
        <w:t>,</w:t>
      </w:r>
      <w:r w:rsidR="0035225B">
        <w:t xml:space="preserve"> allocated 16% of their portfolio into the Federal Reserve’s </w:t>
      </w:r>
      <w:r w:rsidR="00331B15">
        <w:t xml:space="preserve">Overnight </w:t>
      </w:r>
      <w:r w:rsidR="0035225B">
        <w:t>Reverse Repo Facility</w:t>
      </w:r>
      <w:r w:rsidR="00790D5C">
        <w:rPr>
          <w:rStyle w:val="FootnoteReference"/>
        </w:rPr>
        <w:footnoteReference w:id="6"/>
      </w:r>
      <w:r w:rsidR="0035225B">
        <w:t xml:space="preserve"> that </w:t>
      </w:r>
      <w:r w:rsidR="0062671F">
        <w:t xml:space="preserve">was adjusted on June 16, </w:t>
      </w:r>
      <w:proofErr w:type="gramStart"/>
      <w:r w:rsidR="0062671F">
        <w:t>2021</w:t>
      </w:r>
      <w:proofErr w:type="gramEnd"/>
      <w:r w:rsidR="0062671F">
        <w:t xml:space="preserve"> to pay</w:t>
      </w:r>
      <w:r w:rsidR="0035225B">
        <w:t xml:space="preserve"> 0.05%</w:t>
      </w:r>
      <w:r w:rsidR="0062671F">
        <w:t xml:space="preserve"> from 0%</w:t>
      </w:r>
      <w:r w:rsidR="0035225B">
        <w:t xml:space="preserve">. </w:t>
      </w:r>
    </w:p>
    <w:p w14:paraId="54E6D865" w14:textId="37088D8F" w:rsidR="008B7564" w:rsidRDefault="008B7564"/>
    <w:p w14:paraId="5E2B6BE2" w14:textId="5003D488" w:rsidR="008B7564" w:rsidRDefault="00A71DBE">
      <w:r>
        <w:t>Given that</w:t>
      </w:r>
      <w:r w:rsidR="008B7564">
        <w:t xml:space="preserve"> Form N-CR </w:t>
      </w:r>
      <w:r>
        <w:t xml:space="preserve">currently requires MMMFs to report portfolio defaults, implementation of liquidity fees or redemption gates, and other affiliates of the fund sponsor providing financial support to the fund, it would be logical for the Commission to extend reporting to include </w:t>
      </w:r>
      <w:r w:rsidR="00331B15">
        <w:t xml:space="preserve">other external sources </w:t>
      </w:r>
      <w:r w:rsidR="002107BF">
        <w:t xml:space="preserve">so that investors have clear information </w:t>
      </w:r>
      <w:r w:rsidR="005D2DDF">
        <w:t>on how much MMMFs rely on</w:t>
      </w:r>
      <w:r w:rsidR="00331B15">
        <w:t xml:space="preserve"> special benefit</w:t>
      </w:r>
      <w:r w:rsidR="005D2DDF">
        <w:t>s</w:t>
      </w:r>
      <w:r w:rsidR="00331B15">
        <w:t xml:space="preserve"> such as those from the Federal Reserve’s Overnight Reverse Repo Facility. </w:t>
      </w:r>
      <w:r>
        <w:t xml:space="preserve">  </w:t>
      </w:r>
    </w:p>
    <w:p w14:paraId="01C0F096" w14:textId="61DA5E1E" w:rsidR="00331B15" w:rsidRDefault="00331B15"/>
    <w:p w14:paraId="52438FC7" w14:textId="2F74E8C6" w:rsidR="0043381C" w:rsidRDefault="00DE2009">
      <w:r>
        <w:t xml:space="preserve">Such disclosures over Form N-CR would help investors understand </w:t>
      </w:r>
      <w:r w:rsidR="002107BF">
        <w:t xml:space="preserve">the extent to which </w:t>
      </w:r>
      <w:r>
        <w:t xml:space="preserve">their managers are hard pressed to find adequate </w:t>
      </w:r>
      <w:r w:rsidR="005D2DDF">
        <w:t>liquid assets</w:t>
      </w:r>
      <w:r>
        <w:t xml:space="preserve"> in a low interest rate environment. </w:t>
      </w:r>
      <w:r w:rsidR="005D2DDF">
        <w:t xml:space="preserve">As </w:t>
      </w:r>
      <w:r w:rsidR="005D2DDF">
        <w:lastRenderedPageBreak/>
        <w:t xml:space="preserve">J.P. Morgan’s strategists have suggested, higher liquidity requirements </w:t>
      </w:r>
      <w:r w:rsidR="0043381C">
        <w:t xml:space="preserve">under the Commission’s proposal </w:t>
      </w:r>
      <w:r w:rsidR="005D2DDF">
        <w:t>could lead to MMMFs pledging more of their liquid assets into the Federal Reserve’s Overnight Reverse Repo Facility</w:t>
      </w:r>
      <w:r w:rsidR="0043381C">
        <w:t>. Therefore</w:t>
      </w:r>
      <w:r w:rsidR="00772D11">
        <w:t xml:space="preserve">, investors should have a sense of how much MMMFs would have to seek other sources of returns if such temporary programs ended. </w:t>
      </w:r>
    </w:p>
    <w:p w14:paraId="780EE924" w14:textId="77777777" w:rsidR="0043381C" w:rsidRDefault="0043381C"/>
    <w:p w14:paraId="08277131" w14:textId="3312CD18" w:rsidR="0043381C" w:rsidRDefault="0043381C">
      <w:r>
        <w:t>Clearly, several short-term market participants have become more reliant on the Overnight Reverse Repo Facility as eviden</w:t>
      </w:r>
      <w:r w:rsidR="002107BF">
        <w:t>ced</w:t>
      </w:r>
      <w:r>
        <w:t xml:space="preserve"> by the</w:t>
      </w:r>
      <w:r w:rsidR="0062671F">
        <w:t xml:space="preserve"> $250 billion </w:t>
      </w:r>
      <w:r w:rsidR="00772D11">
        <w:t xml:space="preserve">additional capital that flowed into the facility </w:t>
      </w:r>
      <w:r w:rsidR="0023701D">
        <w:t>overnight following its 5 bps increase</w:t>
      </w:r>
      <w:r w:rsidR="00772D11">
        <w:t xml:space="preserve"> </w:t>
      </w:r>
      <w:r w:rsidR="0023701D">
        <w:t xml:space="preserve">to reach </w:t>
      </w:r>
      <w:r w:rsidR="0062671F">
        <w:t>$755 billion</w:t>
      </w:r>
      <w:r w:rsidR="00772D11">
        <w:t xml:space="preserve">. Since then that amount has only gone higher with </w:t>
      </w:r>
      <w:r w:rsidR="00331B15">
        <w:t xml:space="preserve">$1.45 trillion </w:t>
      </w:r>
      <w:r w:rsidR="00772D11">
        <w:t xml:space="preserve">pledged </w:t>
      </w:r>
      <w:r w:rsidR="00331B15">
        <w:t>at the end of November</w:t>
      </w:r>
      <w:r w:rsidR="0062671F">
        <w:rPr>
          <w:rStyle w:val="FootnoteReference"/>
        </w:rPr>
        <w:footnoteReference w:id="7"/>
      </w:r>
      <w:r w:rsidR="00331B15">
        <w:t xml:space="preserve">  </w:t>
      </w:r>
      <w:r w:rsidR="00772D11">
        <w:t>and hitting a peak of $1.9 trillion at the end of 2021.</w:t>
      </w:r>
      <w:r w:rsidR="00772D11">
        <w:rPr>
          <w:rStyle w:val="FootnoteReference"/>
        </w:rPr>
        <w:footnoteReference w:id="8"/>
      </w:r>
      <w:r w:rsidR="00772D11">
        <w:t xml:space="preserve"> </w:t>
      </w:r>
    </w:p>
    <w:p w14:paraId="33CC2B36" w14:textId="49AB8AD2" w:rsidR="0043381C" w:rsidRDefault="0043381C"/>
    <w:p w14:paraId="54F966CA" w14:textId="27DF8410" w:rsidR="0043381C" w:rsidRPr="00AC47CD" w:rsidRDefault="00AC47CD">
      <w:pPr>
        <w:rPr>
          <w:b/>
          <w:bCs/>
        </w:rPr>
      </w:pPr>
      <w:r w:rsidRPr="00AC47CD">
        <w:rPr>
          <w:b/>
          <w:bCs/>
        </w:rPr>
        <w:t>Conclusion</w:t>
      </w:r>
    </w:p>
    <w:p w14:paraId="3D526564" w14:textId="77777777" w:rsidR="0043381C" w:rsidRDefault="0043381C"/>
    <w:p w14:paraId="6534CA0F" w14:textId="7352F166" w:rsidR="002C7E32" w:rsidRDefault="002C7E32">
      <w:r>
        <w:t xml:space="preserve">The Commission’s proposals to reform Money Market Mutual Funds under changes to Rule 2a-7 will better inform and protect investors. </w:t>
      </w:r>
    </w:p>
    <w:p w14:paraId="230A8FBB" w14:textId="6738B10E" w:rsidR="002C7E32" w:rsidRDefault="002C7E32"/>
    <w:p w14:paraId="04ED41CD" w14:textId="032DF8E9" w:rsidR="002C7E32" w:rsidRDefault="007E3D00">
      <w:r>
        <w:t xml:space="preserve">AFREF </w:t>
      </w:r>
      <w:r w:rsidR="002C7E32">
        <w:t>specifically recommend</w:t>
      </w:r>
      <w:r>
        <w:t>s</w:t>
      </w:r>
      <w:r w:rsidR="002C7E32">
        <w:t>:</w:t>
      </w:r>
    </w:p>
    <w:p w14:paraId="678CC8B0" w14:textId="1EFBE381" w:rsidR="002C7E32" w:rsidRDefault="002C7E32"/>
    <w:p w14:paraId="40537DFE" w14:textId="4FC8DBEB" w:rsidR="002C7E32" w:rsidRDefault="002C7E32" w:rsidP="002C7E32">
      <w:pPr>
        <w:pStyle w:val="ListParagraph"/>
        <w:numPr>
          <w:ilvl w:val="0"/>
          <w:numId w:val="1"/>
        </w:numPr>
      </w:pPr>
      <w:r>
        <w:t>Rais</w:t>
      </w:r>
      <w:r w:rsidR="007E3D00">
        <w:t>e</w:t>
      </w:r>
      <w:r>
        <w:t xml:space="preserve"> the weekly liquidity buffers to 50% of total assets from 30% and daily liquidity buffers to 25% from 10%, thresholds which would have withstood the volatility in March 2020</w:t>
      </w:r>
    </w:p>
    <w:p w14:paraId="62DE3DFC" w14:textId="3A3ECF34" w:rsidR="00325884" w:rsidRDefault="00325884" w:rsidP="002C7E32">
      <w:pPr>
        <w:pStyle w:val="ListParagraph"/>
        <w:numPr>
          <w:ilvl w:val="0"/>
          <w:numId w:val="1"/>
        </w:numPr>
      </w:pPr>
      <w:r>
        <w:t>Remove redemption gates and liquidity fees to prevent MMMF investors, who primarily value having immediate access to their capital, from preemptively redeeming in times of market stress</w:t>
      </w:r>
    </w:p>
    <w:p w14:paraId="74982074" w14:textId="5370D52A" w:rsidR="002C7E32" w:rsidRDefault="002C7E32" w:rsidP="002C7E32">
      <w:pPr>
        <w:pStyle w:val="ListParagraph"/>
        <w:numPr>
          <w:ilvl w:val="0"/>
          <w:numId w:val="1"/>
        </w:numPr>
      </w:pPr>
      <w:r>
        <w:t>Require all MMMFs including government funds to float their Net Asset Values (NAVs) to remind investors that in exchange for the higher yields, MMMFs are not equivalent to bank deposits and have portfolios that fluctuate in value</w:t>
      </w:r>
    </w:p>
    <w:p w14:paraId="2AAE7E4E" w14:textId="3AFBBB89" w:rsidR="002C7E32" w:rsidRDefault="00325884" w:rsidP="002C7E32">
      <w:pPr>
        <w:pStyle w:val="ListParagraph"/>
        <w:numPr>
          <w:ilvl w:val="0"/>
          <w:numId w:val="1"/>
        </w:numPr>
      </w:pPr>
      <w:r>
        <w:t xml:space="preserve">Coordinate with the Department of Labor in implementing partial swing pricing, allowing small orders to be processed, while discouraging a first mover advantage in larger redemptions, or encouraging larger orders to be spread out over a longer </w:t>
      </w:r>
      <w:proofErr w:type="gramStart"/>
      <w:r>
        <w:t>period of time</w:t>
      </w:r>
      <w:proofErr w:type="gramEnd"/>
    </w:p>
    <w:p w14:paraId="665640A6" w14:textId="04E0CED0" w:rsidR="00325884" w:rsidRDefault="00325884" w:rsidP="002C7E32">
      <w:pPr>
        <w:pStyle w:val="ListParagraph"/>
        <w:numPr>
          <w:ilvl w:val="0"/>
          <w:numId w:val="1"/>
        </w:numPr>
      </w:pPr>
      <w:r>
        <w:t>Expand required disclosures under Form N-CR to require MMMFs to report how much of their fund’s assets that are dependent on special programs such as the Federal Reserve’s Overnight Reverse Repo Facility whose terms are subject to change in the future</w:t>
      </w:r>
    </w:p>
    <w:p w14:paraId="3F6AC4C6" w14:textId="10DAC6DD" w:rsidR="00C9498E" w:rsidRDefault="00C9498E" w:rsidP="00C9498E"/>
    <w:p w14:paraId="340BCE73" w14:textId="74FE943A" w:rsidR="00C9498E" w:rsidRDefault="00C9498E" w:rsidP="00C9498E">
      <w:r>
        <w:t xml:space="preserve">We appreciate the Commission’s consideration of these important matters. For further discussion, please contact Andrew Park at </w:t>
      </w:r>
      <w:hyperlink r:id="rId8" w:history="1">
        <w:r w:rsidRPr="00C929CC">
          <w:rPr>
            <w:rStyle w:val="Hyperlink"/>
          </w:rPr>
          <w:t>andrew@ourfinancialsecurity.org</w:t>
        </w:r>
      </w:hyperlink>
      <w:r>
        <w:t>.</w:t>
      </w:r>
    </w:p>
    <w:p w14:paraId="01CEBD29" w14:textId="65896F6D" w:rsidR="00C9498E" w:rsidRDefault="00C9498E" w:rsidP="00C9498E"/>
    <w:p w14:paraId="64849A43" w14:textId="6F56DB41" w:rsidR="00C9498E" w:rsidRDefault="00C9498E" w:rsidP="00C9498E">
      <w:r>
        <w:t>Sincerely,</w:t>
      </w:r>
    </w:p>
    <w:p w14:paraId="72264013" w14:textId="77777777" w:rsidR="00C9498E" w:rsidRDefault="00C9498E" w:rsidP="00C9498E"/>
    <w:p w14:paraId="55A2D427" w14:textId="79EF6086" w:rsidR="00C9498E" w:rsidRDefault="00C9498E" w:rsidP="00C9498E">
      <w:r>
        <w:t>Americans for Financial Reform Education Fund</w:t>
      </w:r>
    </w:p>
    <w:p w14:paraId="5860841E" w14:textId="09B96368" w:rsidR="002C7E32" w:rsidRDefault="002C7E32"/>
    <w:p w14:paraId="2827492D" w14:textId="77777777" w:rsidR="002C7E32" w:rsidRDefault="002C7E32"/>
    <w:p w14:paraId="537F9050" w14:textId="77777777" w:rsidR="002C7E32" w:rsidRDefault="002C7E32"/>
    <w:p w14:paraId="11598483" w14:textId="35387F7C" w:rsidR="00331B15" w:rsidRPr="003146A5" w:rsidRDefault="00331B15">
      <w:r>
        <w:t xml:space="preserve">   </w:t>
      </w:r>
    </w:p>
    <w:sectPr w:rsidR="00331B15" w:rsidRPr="003146A5" w:rsidSect="00566818">
      <w:headerReference w:type="default" r:id="rId9"/>
      <w:headerReference w:type="first" r:id="rId10"/>
      <w:pgSz w:w="12240" w:h="15840"/>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7F1E0" w14:textId="77777777" w:rsidR="009B4E7C" w:rsidRDefault="009B4E7C" w:rsidP="001E161A">
      <w:r>
        <w:separator/>
      </w:r>
    </w:p>
  </w:endnote>
  <w:endnote w:type="continuationSeparator" w:id="0">
    <w:p w14:paraId="00476E11" w14:textId="77777777" w:rsidR="009B4E7C" w:rsidRDefault="009B4E7C" w:rsidP="001E1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39DF8" w14:textId="77777777" w:rsidR="009B4E7C" w:rsidRDefault="009B4E7C" w:rsidP="001E161A">
      <w:r>
        <w:separator/>
      </w:r>
    </w:p>
  </w:footnote>
  <w:footnote w:type="continuationSeparator" w:id="0">
    <w:p w14:paraId="7BA4547A" w14:textId="77777777" w:rsidR="009B4E7C" w:rsidRDefault="009B4E7C" w:rsidP="001E161A">
      <w:r>
        <w:continuationSeparator/>
      </w:r>
    </w:p>
  </w:footnote>
  <w:footnote w:id="1">
    <w:p w14:paraId="3FB44E8A" w14:textId="61236866" w:rsidR="001E161A" w:rsidRDefault="001E161A">
      <w:pPr>
        <w:pStyle w:val="FootnoteText"/>
      </w:pPr>
      <w:r>
        <w:rPr>
          <w:rStyle w:val="FootnoteReference"/>
        </w:rPr>
        <w:footnoteRef/>
      </w:r>
      <w:r>
        <w:t xml:space="preserve"> Investment Company Institute. </w:t>
      </w:r>
      <w:r w:rsidR="003608EB">
        <w:t xml:space="preserve">Money Market Mutual Fund Assets. Jan 27, 2022. </w:t>
      </w:r>
      <w:hyperlink r:id="rId1" w:history="1">
        <w:r w:rsidR="003608EB" w:rsidRPr="00C929CC">
          <w:rPr>
            <w:rStyle w:val="Hyperlink"/>
          </w:rPr>
          <w:t>https://www.ici.org/research/stats/mmf</w:t>
        </w:r>
      </w:hyperlink>
      <w:r w:rsidR="003608EB">
        <w:t xml:space="preserve"> </w:t>
      </w:r>
    </w:p>
  </w:footnote>
  <w:footnote w:id="2">
    <w:p w14:paraId="7D8D79F4" w14:textId="2AC3778F" w:rsidR="00145437" w:rsidRDefault="00145437">
      <w:pPr>
        <w:pStyle w:val="FootnoteText"/>
      </w:pPr>
      <w:r>
        <w:rPr>
          <w:rStyle w:val="FootnoteReference"/>
        </w:rPr>
        <w:footnoteRef/>
      </w:r>
      <w:r>
        <w:t xml:space="preserve"> President’s Working Group on Financial Markets. Overview of Recent Events and Potential Reform Options for Money Market Funds. December 2020. </w:t>
      </w:r>
      <w:hyperlink r:id="rId2" w:history="1">
        <w:r w:rsidRPr="00C929CC">
          <w:rPr>
            <w:rStyle w:val="Hyperlink"/>
          </w:rPr>
          <w:t>https://home.treasury.gov/system/files/136/PWG-MMF-report-final-Dec-2020.pdf</w:t>
        </w:r>
      </w:hyperlink>
      <w:r>
        <w:t xml:space="preserve"> </w:t>
      </w:r>
    </w:p>
  </w:footnote>
  <w:footnote w:id="3">
    <w:p w14:paraId="4B14605D" w14:textId="64A69786" w:rsidR="00616BBF" w:rsidRDefault="00616BBF">
      <w:pPr>
        <w:pStyle w:val="FootnoteText"/>
      </w:pPr>
      <w:r>
        <w:rPr>
          <w:rStyle w:val="FootnoteReference"/>
        </w:rPr>
        <w:footnoteRef/>
      </w:r>
      <w:r>
        <w:t xml:space="preserve"> Vanguard. Why Vanguard is moving to partial swing pricing. May 20, 2019. </w:t>
      </w:r>
      <w:hyperlink r:id="rId3" w:history="1">
        <w:r w:rsidRPr="00C929CC">
          <w:rPr>
            <w:rStyle w:val="Hyperlink"/>
          </w:rPr>
          <w:t>https://www.vanguardinvestor.co.uk/articles/latest-thoughts/how-it-works/swing-pricing</w:t>
        </w:r>
      </w:hyperlink>
      <w:r>
        <w:t xml:space="preserve"> </w:t>
      </w:r>
    </w:p>
  </w:footnote>
  <w:footnote w:id="4">
    <w:p w14:paraId="611EC39C" w14:textId="50582274" w:rsidR="00616BBF" w:rsidRDefault="00616BBF" w:rsidP="00616BBF">
      <w:pPr>
        <w:pStyle w:val="FootnoteText"/>
      </w:pPr>
      <w:r>
        <w:rPr>
          <w:rStyle w:val="FootnoteReference"/>
        </w:rPr>
        <w:footnoteRef/>
      </w:r>
      <w:r>
        <w:t xml:space="preserve"> Kashyap, Anil; Kohn, Donald, and Wessel, David. Brookings Institute. What is swing pricing? Aug 3, 2021. </w:t>
      </w:r>
      <w:hyperlink r:id="rId4" w:history="1">
        <w:r w:rsidRPr="00C929CC">
          <w:rPr>
            <w:rStyle w:val="Hyperlink"/>
          </w:rPr>
          <w:t>https://www.brookings.edu/blog/up-front/2021/08/03/what-is-swing-pricing/</w:t>
        </w:r>
      </w:hyperlink>
      <w:r>
        <w:t xml:space="preserve"> </w:t>
      </w:r>
    </w:p>
  </w:footnote>
  <w:footnote w:id="5">
    <w:p w14:paraId="3B424FAF" w14:textId="675B5EE1" w:rsidR="004475BA" w:rsidRDefault="004475BA">
      <w:pPr>
        <w:pStyle w:val="FootnoteText"/>
      </w:pPr>
      <w:r>
        <w:rPr>
          <w:rStyle w:val="FootnoteReference"/>
        </w:rPr>
        <w:footnoteRef/>
      </w:r>
      <w:r>
        <w:t xml:space="preserve"> Anadu, Kenechukwu et al. Federal Reserve Bank of Boston. The Money Market Mutual Fund Liquidity Facility. Sep 27, 2021. </w:t>
      </w:r>
      <w:hyperlink r:id="rId5" w:history="1">
        <w:r w:rsidRPr="00C929CC">
          <w:rPr>
            <w:rStyle w:val="Hyperlink"/>
          </w:rPr>
          <w:t>https://ssrn.com/abstract=3951479</w:t>
        </w:r>
      </w:hyperlink>
      <w:r>
        <w:t xml:space="preserve"> </w:t>
      </w:r>
    </w:p>
  </w:footnote>
  <w:footnote w:id="6">
    <w:p w14:paraId="0CA630E3" w14:textId="4BC81A3F" w:rsidR="00790D5C" w:rsidRDefault="00790D5C">
      <w:pPr>
        <w:pStyle w:val="FootnoteText"/>
      </w:pPr>
      <w:r>
        <w:rPr>
          <w:rStyle w:val="FootnoteReference"/>
        </w:rPr>
        <w:footnoteRef/>
      </w:r>
      <w:r>
        <w:t xml:space="preserve"> Roever, Alex et al. J.P. Morgan. US Fixed Income Strategy. Dec 17, 2021. </w:t>
      </w:r>
    </w:p>
  </w:footnote>
  <w:footnote w:id="7">
    <w:p w14:paraId="74113EB5" w14:textId="3A4FDD67" w:rsidR="0062671F" w:rsidRDefault="0062671F">
      <w:pPr>
        <w:pStyle w:val="FootnoteText"/>
      </w:pPr>
      <w:r>
        <w:rPr>
          <w:rStyle w:val="FootnoteReference"/>
        </w:rPr>
        <w:footnoteRef/>
      </w:r>
      <w:r>
        <w:t xml:space="preserve"> Fulmer, Sean. Yale </w:t>
      </w:r>
      <w:r w:rsidR="00790D5C">
        <w:t xml:space="preserve">School of Management. The Federal Reserve Remains Unconcerned As Usage of its Reverse Repo Facility Approaches $1 Trillion. Jul 23, 2021. </w:t>
      </w:r>
      <w:hyperlink r:id="rId6" w:history="1">
        <w:r w:rsidR="00790D5C" w:rsidRPr="00C929CC">
          <w:rPr>
            <w:rStyle w:val="Hyperlink"/>
          </w:rPr>
          <w:t>https://som.yale.edu/blog/the-federal-reserve-remains-unconcerned-as-usage-of-its-reverse-repo-facility-approaches-1-trillion</w:t>
        </w:r>
      </w:hyperlink>
      <w:r w:rsidR="00790D5C">
        <w:t xml:space="preserve"> </w:t>
      </w:r>
    </w:p>
  </w:footnote>
  <w:footnote w:id="8">
    <w:p w14:paraId="6042C84A" w14:textId="6382337B" w:rsidR="00772D11" w:rsidRDefault="00772D11">
      <w:pPr>
        <w:pStyle w:val="FootnoteText"/>
      </w:pPr>
      <w:r>
        <w:rPr>
          <w:rStyle w:val="FootnoteReference"/>
        </w:rPr>
        <w:footnoteRef/>
      </w:r>
      <w:r>
        <w:t xml:space="preserve"> Federal Reserve Bank of St. Louis. Federal Reserve Economic Data. Overnight Reverse Repurchase Agreements: Treasury Securities Sold by the Federal Reserve in the Temporary Open Market Operations. Jan 28, 2022. </w:t>
      </w:r>
      <w:hyperlink r:id="rId7" w:history="1">
        <w:r w:rsidRPr="00C929CC">
          <w:rPr>
            <w:rStyle w:val="Hyperlink"/>
          </w:rPr>
          <w:t>https://fred.stlouisfed.org/series/RRPONTSYD</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7FED9" w14:textId="60C3953F" w:rsidR="00566818" w:rsidRDefault="00566818">
    <w:pPr>
      <w:pStyle w:val="Header"/>
    </w:pPr>
  </w:p>
  <w:p w14:paraId="041CA11D" w14:textId="77777777" w:rsidR="00566818" w:rsidRDefault="005668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49856" w14:textId="1CFD52CA" w:rsidR="00566818" w:rsidRDefault="00566818" w:rsidP="00566818">
    <w:pPr>
      <w:pStyle w:val="Header"/>
      <w:jc w:val="center"/>
    </w:pPr>
    <w:r w:rsidRPr="00566818">
      <w:drawing>
        <wp:inline distT="0" distB="0" distL="0" distR="0" wp14:anchorId="3D5DE10E" wp14:editId="04577607">
          <wp:extent cx="5203190" cy="1612988"/>
          <wp:effectExtent l="0" t="0" r="381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stretch>
                    <a:fillRect/>
                  </a:stretch>
                </pic:blipFill>
                <pic:spPr>
                  <a:xfrm>
                    <a:off x="0" y="0"/>
                    <a:ext cx="5217313" cy="16173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103CC"/>
    <w:multiLevelType w:val="hybridMultilevel"/>
    <w:tmpl w:val="9246F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5558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C42"/>
    <w:rsid w:val="000276B6"/>
    <w:rsid w:val="00052EC4"/>
    <w:rsid w:val="00097FAB"/>
    <w:rsid w:val="000B5C04"/>
    <w:rsid w:val="0010042C"/>
    <w:rsid w:val="00116509"/>
    <w:rsid w:val="00145437"/>
    <w:rsid w:val="0016552C"/>
    <w:rsid w:val="001E0C42"/>
    <w:rsid w:val="001E161A"/>
    <w:rsid w:val="001E2BB6"/>
    <w:rsid w:val="002107BF"/>
    <w:rsid w:val="0023701D"/>
    <w:rsid w:val="002C7E32"/>
    <w:rsid w:val="003146A5"/>
    <w:rsid w:val="00325884"/>
    <w:rsid w:val="00331B15"/>
    <w:rsid w:val="0035225B"/>
    <w:rsid w:val="00356173"/>
    <w:rsid w:val="003608EB"/>
    <w:rsid w:val="00360FA4"/>
    <w:rsid w:val="00393465"/>
    <w:rsid w:val="003A56DE"/>
    <w:rsid w:val="003F038A"/>
    <w:rsid w:val="0043381C"/>
    <w:rsid w:val="004371DB"/>
    <w:rsid w:val="004475BA"/>
    <w:rsid w:val="004C77CD"/>
    <w:rsid w:val="004D63ED"/>
    <w:rsid w:val="004E2D2D"/>
    <w:rsid w:val="00566818"/>
    <w:rsid w:val="005C1512"/>
    <w:rsid w:val="005D2DDF"/>
    <w:rsid w:val="005D3DFB"/>
    <w:rsid w:val="00616BBF"/>
    <w:rsid w:val="0062671F"/>
    <w:rsid w:val="006B6042"/>
    <w:rsid w:val="00706B29"/>
    <w:rsid w:val="00707A13"/>
    <w:rsid w:val="00772D11"/>
    <w:rsid w:val="00790D5C"/>
    <w:rsid w:val="007E3D00"/>
    <w:rsid w:val="007F32BA"/>
    <w:rsid w:val="008B5F7D"/>
    <w:rsid w:val="008B7564"/>
    <w:rsid w:val="008F40AE"/>
    <w:rsid w:val="009A2AF8"/>
    <w:rsid w:val="009B4E7C"/>
    <w:rsid w:val="009C70AB"/>
    <w:rsid w:val="009D3B86"/>
    <w:rsid w:val="00A001D8"/>
    <w:rsid w:val="00A71DBE"/>
    <w:rsid w:val="00A750F2"/>
    <w:rsid w:val="00AC47CD"/>
    <w:rsid w:val="00AE1C30"/>
    <w:rsid w:val="00AF3073"/>
    <w:rsid w:val="00B434BB"/>
    <w:rsid w:val="00B730EB"/>
    <w:rsid w:val="00B75BBE"/>
    <w:rsid w:val="00B93B7D"/>
    <w:rsid w:val="00C31342"/>
    <w:rsid w:val="00C55965"/>
    <w:rsid w:val="00C9498E"/>
    <w:rsid w:val="00CE21EA"/>
    <w:rsid w:val="00CF62E8"/>
    <w:rsid w:val="00D40584"/>
    <w:rsid w:val="00D52F78"/>
    <w:rsid w:val="00D974FC"/>
    <w:rsid w:val="00DE2009"/>
    <w:rsid w:val="00DE5283"/>
    <w:rsid w:val="00E45DD8"/>
    <w:rsid w:val="00E622A8"/>
    <w:rsid w:val="00E668DA"/>
    <w:rsid w:val="00E74FA6"/>
    <w:rsid w:val="00EF0F20"/>
    <w:rsid w:val="00F01669"/>
    <w:rsid w:val="00F26AD7"/>
    <w:rsid w:val="00F966C0"/>
    <w:rsid w:val="00FE6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42425"/>
  <w15:chartTrackingRefBased/>
  <w15:docId w15:val="{1CFB3E8C-1FBA-C344-AAB0-34BDEA826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E161A"/>
    <w:rPr>
      <w:sz w:val="20"/>
      <w:szCs w:val="20"/>
    </w:rPr>
  </w:style>
  <w:style w:type="character" w:customStyle="1" w:styleId="FootnoteTextChar">
    <w:name w:val="Footnote Text Char"/>
    <w:basedOn w:val="DefaultParagraphFont"/>
    <w:link w:val="FootnoteText"/>
    <w:uiPriority w:val="99"/>
    <w:semiHidden/>
    <w:rsid w:val="001E161A"/>
    <w:rPr>
      <w:sz w:val="20"/>
      <w:szCs w:val="20"/>
    </w:rPr>
  </w:style>
  <w:style w:type="character" w:styleId="FootnoteReference">
    <w:name w:val="footnote reference"/>
    <w:basedOn w:val="DefaultParagraphFont"/>
    <w:uiPriority w:val="99"/>
    <w:semiHidden/>
    <w:unhideWhenUsed/>
    <w:rsid w:val="001E161A"/>
    <w:rPr>
      <w:vertAlign w:val="superscript"/>
    </w:rPr>
  </w:style>
  <w:style w:type="character" w:styleId="Hyperlink">
    <w:name w:val="Hyperlink"/>
    <w:basedOn w:val="DefaultParagraphFont"/>
    <w:uiPriority w:val="99"/>
    <w:unhideWhenUsed/>
    <w:rsid w:val="003608EB"/>
    <w:rPr>
      <w:color w:val="0563C1" w:themeColor="hyperlink"/>
      <w:u w:val="single"/>
    </w:rPr>
  </w:style>
  <w:style w:type="character" w:styleId="UnresolvedMention">
    <w:name w:val="Unresolved Mention"/>
    <w:basedOn w:val="DefaultParagraphFont"/>
    <w:uiPriority w:val="99"/>
    <w:semiHidden/>
    <w:unhideWhenUsed/>
    <w:rsid w:val="003608EB"/>
    <w:rPr>
      <w:color w:val="605E5C"/>
      <w:shd w:val="clear" w:color="auto" w:fill="E1DFDD"/>
    </w:rPr>
  </w:style>
  <w:style w:type="character" w:styleId="CommentReference">
    <w:name w:val="annotation reference"/>
    <w:basedOn w:val="DefaultParagraphFont"/>
    <w:uiPriority w:val="99"/>
    <w:semiHidden/>
    <w:unhideWhenUsed/>
    <w:rsid w:val="0043381C"/>
    <w:rPr>
      <w:sz w:val="16"/>
      <w:szCs w:val="16"/>
    </w:rPr>
  </w:style>
  <w:style w:type="paragraph" w:styleId="CommentText">
    <w:name w:val="annotation text"/>
    <w:basedOn w:val="Normal"/>
    <w:link w:val="CommentTextChar"/>
    <w:uiPriority w:val="99"/>
    <w:unhideWhenUsed/>
    <w:rsid w:val="0043381C"/>
    <w:rPr>
      <w:sz w:val="20"/>
      <w:szCs w:val="20"/>
    </w:rPr>
  </w:style>
  <w:style w:type="character" w:customStyle="1" w:styleId="CommentTextChar">
    <w:name w:val="Comment Text Char"/>
    <w:basedOn w:val="DefaultParagraphFont"/>
    <w:link w:val="CommentText"/>
    <w:uiPriority w:val="99"/>
    <w:rsid w:val="0043381C"/>
    <w:rPr>
      <w:sz w:val="20"/>
      <w:szCs w:val="20"/>
    </w:rPr>
  </w:style>
  <w:style w:type="paragraph" w:styleId="CommentSubject">
    <w:name w:val="annotation subject"/>
    <w:basedOn w:val="CommentText"/>
    <w:next w:val="CommentText"/>
    <w:link w:val="CommentSubjectChar"/>
    <w:uiPriority w:val="99"/>
    <w:semiHidden/>
    <w:unhideWhenUsed/>
    <w:rsid w:val="0043381C"/>
    <w:rPr>
      <w:b/>
      <w:bCs/>
    </w:rPr>
  </w:style>
  <w:style w:type="character" w:customStyle="1" w:styleId="CommentSubjectChar">
    <w:name w:val="Comment Subject Char"/>
    <w:basedOn w:val="CommentTextChar"/>
    <w:link w:val="CommentSubject"/>
    <w:uiPriority w:val="99"/>
    <w:semiHidden/>
    <w:rsid w:val="0043381C"/>
    <w:rPr>
      <w:b/>
      <w:bCs/>
      <w:sz w:val="20"/>
      <w:szCs w:val="20"/>
    </w:rPr>
  </w:style>
  <w:style w:type="paragraph" w:styleId="ListParagraph">
    <w:name w:val="List Paragraph"/>
    <w:basedOn w:val="Normal"/>
    <w:uiPriority w:val="34"/>
    <w:qFormat/>
    <w:rsid w:val="002C7E32"/>
    <w:pPr>
      <w:ind w:left="720"/>
      <w:contextualSpacing/>
    </w:pPr>
  </w:style>
  <w:style w:type="paragraph" w:styleId="Revision">
    <w:name w:val="Revision"/>
    <w:hidden/>
    <w:uiPriority w:val="99"/>
    <w:semiHidden/>
    <w:rsid w:val="00F26AD7"/>
  </w:style>
  <w:style w:type="paragraph" w:styleId="Header">
    <w:name w:val="header"/>
    <w:basedOn w:val="Normal"/>
    <w:link w:val="HeaderChar"/>
    <w:uiPriority w:val="99"/>
    <w:unhideWhenUsed/>
    <w:rsid w:val="00566818"/>
    <w:pPr>
      <w:tabs>
        <w:tab w:val="center" w:pos="4680"/>
        <w:tab w:val="right" w:pos="9360"/>
      </w:tabs>
    </w:pPr>
  </w:style>
  <w:style w:type="character" w:customStyle="1" w:styleId="HeaderChar">
    <w:name w:val="Header Char"/>
    <w:basedOn w:val="DefaultParagraphFont"/>
    <w:link w:val="Header"/>
    <w:uiPriority w:val="99"/>
    <w:rsid w:val="00566818"/>
  </w:style>
  <w:style w:type="paragraph" w:styleId="Footer">
    <w:name w:val="footer"/>
    <w:basedOn w:val="Normal"/>
    <w:link w:val="FooterChar"/>
    <w:uiPriority w:val="99"/>
    <w:unhideWhenUsed/>
    <w:rsid w:val="00566818"/>
    <w:pPr>
      <w:tabs>
        <w:tab w:val="center" w:pos="4680"/>
        <w:tab w:val="right" w:pos="9360"/>
      </w:tabs>
    </w:pPr>
  </w:style>
  <w:style w:type="character" w:customStyle="1" w:styleId="FooterChar">
    <w:name w:val="Footer Char"/>
    <w:basedOn w:val="DefaultParagraphFont"/>
    <w:link w:val="Footer"/>
    <w:uiPriority w:val="99"/>
    <w:rsid w:val="00566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w@ourfinancialsecurity.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vanguardinvestor.co.uk/articles/latest-thoughts/how-it-works/swing-pricing" TargetMode="External"/><Relationship Id="rId7" Type="http://schemas.openxmlformats.org/officeDocument/2006/relationships/hyperlink" Target="https://fred.stlouisfed.org/series/RRPONTSYD" TargetMode="External"/><Relationship Id="rId2" Type="http://schemas.openxmlformats.org/officeDocument/2006/relationships/hyperlink" Target="https://home.treasury.gov/system/files/136/PWG-MMF-report-final-Dec-2020.pdf" TargetMode="External"/><Relationship Id="rId1" Type="http://schemas.openxmlformats.org/officeDocument/2006/relationships/hyperlink" Target="https://www.ici.org/research/stats/mmf" TargetMode="External"/><Relationship Id="rId6" Type="http://schemas.openxmlformats.org/officeDocument/2006/relationships/hyperlink" Target="https://som.yale.edu/blog/the-federal-reserve-remains-unconcerned-as-usage-of-its-reverse-repo-facility-approaches-1-trillion" TargetMode="External"/><Relationship Id="rId5" Type="http://schemas.openxmlformats.org/officeDocument/2006/relationships/hyperlink" Target="https://ssrn.com/abstract=3951479" TargetMode="External"/><Relationship Id="rId4" Type="http://schemas.openxmlformats.org/officeDocument/2006/relationships/hyperlink" Target="https://www.brookings.edu/blog/up-front/2021/08/03/what-is-swing-prici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D7CE3-BC13-A249-9F4F-D6E7F4FFC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1761</Words>
  <Characters>10038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Park</dc:creator>
  <cp:keywords/>
  <dc:description/>
  <cp:lastModifiedBy>Andrew Park</cp:lastModifiedBy>
  <cp:revision>3</cp:revision>
  <dcterms:created xsi:type="dcterms:W3CDTF">2022-04-12T02:46:00Z</dcterms:created>
  <dcterms:modified xsi:type="dcterms:W3CDTF">2022-04-12T02:46:00Z</dcterms:modified>
</cp:coreProperties>
</file>