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822B2" w14:textId="784F9E6C" w:rsidR="00A061B0" w:rsidRDefault="002C5553" w:rsidP="004564F7">
      <w:pPr>
        <w:spacing w:after="0"/>
        <w:rPr>
          <w:b/>
          <w:sz w:val="23"/>
          <w:szCs w:val="23"/>
        </w:rPr>
      </w:pPr>
      <w:r w:rsidRPr="004564F7">
        <w:rPr>
          <w:rFonts w:cs="Arial"/>
          <w:color w:val="222222"/>
          <w:sz w:val="23"/>
          <w:szCs w:val="23"/>
          <w:shd w:val="clear" w:color="auto" w:fill="FFFFFF"/>
        </w:rPr>
        <w:t>Overdraft is</w:t>
      </w:r>
      <w:r w:rsidR="00A50B90">
        <w:rPr>
          <w:rFonts w:cs="Arial"/>
          <w:color w:val="222222"/>
          <w:sz w:val="23"/>
          <w:szCs w:val="23"/>
          <w:shd w:val="clear" w:color="auto" w:fill="FFFFFF"/>
        </w:rPr>
        <w:t xml:space="preserve"> essentially</w:t>
      </w:r>
      <w:r w:rsidRPr="004564F7">
        <w:rPr>
          <w:rFonts w:cs="Arial"/>
          <w:color w:val="222222"/>
          <w:sz w:val="23"/>
          <w:szCs w:val="23"/>
          <w:shd w:val="clear" w:color="auto" w:fill="FFFFFF"/>
        </w:rPr>
        <w:t xml:space="preserve"> an automated loan program. </w:t>
      </w:r>
      <w:r w:rsidR="00A50B90">
        <w:rPr>
          <w:rFonts w:cs="Arial"/>
          <w:color w:val="222222"/>
          <w:sz w:val="23"/>
          <w:szCs w:val="23"/>
          <w:shd w:val="clear" w:color="auto" w:fill="FFFFFF"/>
        </w:rPr>
        <w:t>J</w:t>
      </w:r>
      <w:r w:rsidR="00A50B90" w:rsidRPr="004564F7">
        <w:rPr>
          <w:rFonts w:cs="Arial"/>
          <w:color w:val="222222"/>
          <w:sz w:val="23"/>
          <w:szCs w:val="23"/>
          <w:shd w:val="clear" w:color="auto" w:fill="FFFFFF"/>
        </w:rPr>
        <w:t>ust like people stuck in a payday cycle</w:t>
      </w:r>
      <w:r w:rsidR="00A50B90">
        <w:rPr>
          <w:rFonts w:cs="Arial"/>
          <w:color w:val="222222"/>
          <w:sz w:val="23"/>
          <w:szCs w:val="23"/>
          <w:shd w:val="clear" w:color="auto" w:fill="FFFFFF"/>
        </w:rPr>
        <w:t>,</w:t>
      </w:r>
      <w:r w:rsidR="00A50B90" w:rsidRPr="004564F7">
        <w:rPr>
          <w:rFonts w:cs="Arial"/>
          <w:color w:val="222222"/>
          <w:sz w:val="23"/>
          <w:szCs w:val="23"/>
          <w:shd w:val="clear" w:color="auto" w:fill="FFFFFF"/>
        </w:rPr>
        <w:t xml:space="preserve"> </w:t>
      </w:r>
      <w:r w:rsidR="00A50B90">
        <w:rPr>
          <w:rFonts w:cs="Arial"/>
          <w:color w:val="222222"/>
          <w:sz w:val="23"/>
          <w:szCs w:val="23"/>
          <w:shd w:val="clear" w:color="auto" w:fill="FFFFFF"/>
        </w:rPr>
        <w:t>t</w:t>
      </w:r>
      <w:r w:rsidRPr="004564F7">
        <w:rPr>
          <w:rFonts w:cs="Arial"/>
          <w:color w:val="222222"/>
          <w:sz w:val="23"/>
          <w:szCs w:val="23"/>
          <w:shd w:val="clear" w:color="auto" w:fill="FFFFFF"/>
        </w:rPr>
        <w:t>he bulk of overdraft fee income comes from repeat borrowers who incur multiple overdrafts</w:t>
      </w:r>
      <w:r w:rsidR="00A50B90">
        <w:rPr>
          <w:rFonts w:cs="Arial"/>
          <w:color w:val="222222"/>
          <w:sz w:val="23"/>
          <w:szCs w:val="23"/>
          <w:shd w:val="clear" w:color="auto" w:fill="FFFFFF"/>
        </w:rPr>
        <w:t xml:space="preserve">. In fact, overdraft fees are </w:t>
      </w:r>
      <w:r>
        <w:rPr>
          <w:rFonts w:cs="Times New Roman"/>
          <w:color w:val="000000"/>
          <w:sz w:val="23"/>
          <w:szCs w:val="23"/>
        </w:rPr>
        <w:t xml:space="preserve">the </w:t>
      </w:r>
      <w:r w:rsidR="00C13D02" w:rsidRPr="004564F7">
        <w:rPr>
          <w:rFonts w:cs="Times New Roman"/>
          <w:color w:val="000000"/>
          <w:sz w:val="23"/>
          <w:szCs w:val="23"/>
        </w:rPr>
        <w:t>second-largest source of revenue for Wells Fargo’s consumer deposits group</w:t>
      </w:r>
      <w:r w:rsidR="005B7627">
        <w:rPr>
          <w:rFonts w:cs="Times New Roman"/>
          <w:color w:val="000000"/>
          <w:sz w:val="23"/>
          <w:szCs w:val="23"/>
        </w:rPr>
        <w:t xml:space="preserve"> and </w:t>
      </w:r>
      <w:r w:rsidR="005B7627" w:rsidRPr="000F732D">
        <w:rPr>
          <w:rFonts w:cs="Times New Roman"/>
          <w:color w:val="000000"/>
          <w:sz w:val="23"/>
          <w:szCs w:val="23"/>
        </w:rPr>
        <w:t>cost American’s over $16 Billion a year</w:t>
      </w:r>
      <w:r w:rsidR="00A50B90">
        <w:rPr>
          <w:rFonts w:cs="Times New Roman"/>
          <w:color w:val="000000"/>
          <w:sz w:val="23"/>
          <w:szCs w:val="23"/>
        </w:rPr>
        <w:t xml:space="preserve"> across institutions</w:t>
      </w:r>
      <w:r w:rsidR="002D063F" w:rsidRPr="004564F7">
        <w:rPr>
          <w:rFonts w:cs="Times New Roman"/>
          <w:color w:val="000000"/>
          <w:sz w:val="23"/>
          <w:szCs w:val="23"/>
        </w:rPr>
        <w:t xml:space="preserve">.  </w:t>
      </w:r>
    </w:p>
    <w:p w14:paraId="2307EEAB" w14:textId="77777777" w:rsidR="00BC3A91" w:rsidRPr="004564F7" w:rsidRDefault="00BC3A91" w:rsidP="004564F7">
      <w:pPr>
        <w:spacing w:after="0"/>
        <w:rPr>
          <w:b/>
          <w:sz w:val="23"/>
          <w:szCs w:val="23"/>
        </w:rPr>
      </w:pPr>
    </w:p>
    <w:p w14:paraId="025BCE19" w14:textId="217D7AEA" w:rsidR="00C13D02" w:rsidRDefault="00C13D02" w:rsidP="00DD05A1">
      <w:pPr>
        <w:spacing w:after="0" w:line="240" w:lineRule="auto"/>
        <w:rPr>
          <w:b/>
          <w:sz w:val="23"/>
          <w:szCs w:val="23"/>
        </w:rPr>
      </w:pPr>
      <w:r w:rsidRPr="004564F7">
        <w:rPr>
          <w:b/>
          <w:sz w:val="23"/>
          <w:szCs w:val="23"/>
        </w:rPr>
        <w:t xml:space="preserve">Overdraft fees are disproportionately </w:t>
      </w:r>
      <w:r w:rsidR="00E77B94">
        <w:rPr>
          <w:b/>
          <w:sz w:val="23"/>
          <w:szCs w:val="23"/>
        </w:rPr>
        <w:t>paid</w:t>
      </w:r>
      <w:r w:rsidR="00E77B94" w:rsidRPr="004564F7">
        <w:rPr>
          <w:b/>
          <w:sz w:val="23"/>
          <w:szCs w:val="23"/>
        </w:rPr>
        <w:t xml:space="preserve"> </w:t>
      </w:r>
      <w:r w:rsidRPr="004564F7">
        <w:rPr>
          <w:b/>
          <w:sz w:val="23"/>
          <w:szCs w:val="23"/>
        </w:rPr>
        <w:t>by a relatively small portion of account ho</w:t>
      </w:r>
      <w:r w:rsidR="002959BF" w:rsidRPr="004564F7">
        <w:rPr>
          <w:b/>
          <w:sz w:val="23"/>
          <w:szCs w:val="23"/>
        </w:rPr>
        <w:t>l</w:t>
      </w:r>
      <w:r w:rsidRPr="004564F7">
        <w:rPr>
          <w:b/>
          <w:sz w:val="23"/>
          <w:szCs w:val="23"/>
        </w:rPr>
        <w:t>ders:</w:t>
      </w:r>
    </w:p>
    <w:p w14:paraId="16FE3C7F" w14:textId="77777777" w:rsidR="003E5BF4" w:rsidRPr="00DD05A1" w:rsidRDefault="003E5BF4" w:rsidP="00DD05A1">
      <w:pPr>
        <w:spacing w:after="0" w:line="240" w:lineRule="auto"/>
        <w:rPr>
          <w:b/>
          <w:sz w:val="16"/>
          <w:szCs w:val="16"/>
        </w:rPr>
      </w:pPr>
    </w:p>
    <w:p w14:paraId="32639C72" w14:textId="77777777" w:rsidR="00C13D02" w:rsidRPr="004564F7" w:rsidRDefault="00C13D02" w:rsidP="00DD05A1">
      <w:pPr>
        <w:pStyle w:val="ListParagraph"/>
        <w:numPr>
          <w:ilvl w:val="0"/>
          <w:numId w:val="1"/>
        </w:numPr>
        <w:spacing w:after="0" w:line="240" w:lineRule="auto"/>
        <w:rPr>
          <w:sz w:val="23"/>
          <w:szCs w:val="23"/>
        </w:rPr>
      </w:pPr>
      <w:r w:rsidRPr="004564F7">
        <w:rPr>
          <w:sz w:val="23"/>
          <w:szCs w:val="23"/>
        </w:rPr>
        <w:t>CFPB found that nearly three-fourths of overdraft and NSF fees are paid by only 8% of account holders, who incur 10 or more fees per year.</w:t>
      </w:r>
      <w:r w:rsidR="002A246A" w:rsidRPr="002A246A">
        <w:rPr>
          <w:sz w:val="23"/>
          <w:szCs w:val="23"/>
          <w:vertAlign w:val="superscript"/>
        </w:rPr>
        <w:t>1</w:t>
      </w:r>
      <w:r w:rsidRPr="004564F7">
        <w:rPr>
          <w:sz w:val="23"/>
          <w:szCs w:val="23"/>
        </w:rPr>
        <w:t xml:space="preserve"> </w:t>
      </w:r>
    </w:p>
    <w:p w14:paraId="327596C2" w14:textId="77777777" w:rsidR="00C13D02" w:rsidRPr="004564F7" w:rsidRDefault="00C13D02" w:rsidP="00DD05A1">
      <w:pPr>
        <w:pStyle w:val="ListParagraph"/>
        <w:numPr>
          <w:ilvl w:val="0"/>
          <w:numId w:val="1"/>
        </w:numPr>
        <w:spacing w:after="0" w:line="240" w:lineRule="auto"/>
        <w:rPr>
          <w:sz w:val="23"/>
          <w:szCs w:val="23"/>
        </w:rPr>
      </w:pPr>
      <w:r w:rsidRPr="004564F7">
        <w:rPr>
          <w:sz w:val="23"/>
          <w:szCs w:val="23"/>
        </w:rPr>
        <w:t>According to the Center for Responsible Lending, nearly 2 million Americans pay 20 or more overdraft fees annually, translating to $700 or more.</w:t>
      </w:r>
      <w:r w:rsidR="002A246A" w:rsidRPr="002A246A">
        <w:rPr>
          <w:sz w:val="23"/>
          <w:szCs w:val="23"/>
          <w:vertAlign w:val="superscript"/>
        </w:rPr>
        <w:t xml:space="preserve"> </w:t>
      </w:r>
      <w:r w:rsidR="003E5BF4">
        <w:rPr>
          <w:sz w:val="23"/>
          <w:szCs w:val="23"/>
          <w:vertAlign w:val="superscript"/>
        </w:rPr>
        <w:t>1</w:t>
      </w:r>
    </w:p>
    <w:p w14:paraId="6425660B" w14:textId="65E12937" w:rsidR="00C13D02" w:rsidRPr="004564F7" w:rsidRDefault="00C13D02" w:rsidP="00E77B94">
      <w:pPr>
        <w:pStyle w:val="ListParagraph"/>
        <w:numPr>
          <w:ilvl w:val="0"/>
          <w:numId w:val="1"/>
        </w:numPr>
        <w:spacing w:after="0" w:line="240" w:lineRule="auto"/>
        <w:rPr>
          <w:sz w:val="23"/>
          <w:szCs w:val="23"/>
        </w:rPr>
      </w:pPr>
      <w:r w:rsidRPr="004564F7">
        <w:rPr>
          <w:sz w:val="23"/>
          <w:szCs w:val="23"/>
        </w:rPr>
        <w:t>Internal Wells Fargo documents</w:t>
      </w:r>
      <w:r w:rsidR="00486A3D" w:rsidRPr="004564F7">
        <w:rPr>
          <w:sz w:val="23"/>
          <w:szCs w:val="23"/>
        </w:rPr>
        <w:t xml:space="preserve">, </w:t>
      </w:r>
      <w:r w:rsidR="00E77B94">
        <w:rPr>
          <w:sz w:val="23"/>
          <w:szCs w:val="23"/>
        </w:rPr>
        <w:t xml:space="preserve">made public as a result of a </w:t>
      </w:r>
      <w:r w:rsidR="00486A3D" w:rsidRPr="004564F7">
        <w:rPr>
          <w:sz w:val="23"/>
          <w:szCs w:val="23"/>
        </w:rPr>
        <w:t>201</w:t>
      </w:r>
      <w:r w:rsidR="00E77B94">
        <w:rPr>
          <w:sz w:val="23"/>
          <w:szCs w:val="23"/>
        </w:rPr>
        <w:t>2</w:t>
      </w:r>
      <w:r w:rsidR="00486A3D" w:rsidRPr="004564F7">
        <w:rPr>
          <w:sz w:val="23"/>
          <w:szCs w:val="23"/>
        </w:rPr>
        <w:t xml:space="preserve"> lawsuit,</w:t>
      </w:r>
      <w:r w:rsidRPr="004564F7">
        <w:rPr>
          <w:sz w:val="23"/>
          <w:szCs w:val="23"/>
        </w:rPr>
        <w:t xml:space="preserve"> recognized that just four percent of </w:t>
      </w:r>
      <w:r w:rsidR="00486A3D" w:rsidRPr="004564F7">
        <w:rPr>
          <w:sz w:val="23"/>
          <w:szCs w:val="23"/>
        </w:rPr>
        <w:t xml:space="preserve">Well Fargo </w:t>
      </w:r>
      <w:r w:rsidRPr="004564F7">
        <w:rPr>
          <w:sz w:val="23"/>
          <w:szCs w:val="23"/>
        </w:rPr>
        <w:t>customers receiving overdraft fees supplied a whopping 40 percent of its total overdraft revenue.</w:t>
      </w:r>
      <w:r w:rsidR="00A50B90">
        <w:rPr>
          <w:sz w:val="23"/>
          <w:szCs w:val="23"/>
          <w:vertAlign w:val="superscript"/>
        </w:rPr>
        <w:t>2</w:t>
      </w:r>
      <w:r w:rsidRPr="004564F7">
        <w:rPr>
          <w:sz w:val="23"/>
          <w:szCs w:val="23"/>
        </w:rPr>
        <w:t xml:space="preserve"> </w:t>
      </w:r>
    </w:p>
    <w:p w14:paraId="09C89E79" w14:textId="77777777" w:rsidR="00C808F1" w:rsidRDefault="00C808F1" w:rsidP="00C13D02">
      <w:pPr>
        <w:rPr>
          <w:b/>
          <w:sz w:val="23"/>
          <w:szCs w:val="23"/>
        </w:rPr>
      </w:pPr>
    </w:p>
    <w:p w14:paraId="70743FB3" w14:textId="77777777" w:rsidR="003E5BF4" w:rsidRPr="004564F7" w:rsidRDefault="003E5BF4" w:rsidP="00C13D02">
      <w:pPr>
        <w:rPr>
          <w:b/>
          <w:sz w:val="23"/>
          <w:szCs w:val="23"/>
        </w:rPr>
        <w:sectPr w:rsidR="003E5BF4" w:rsidRPr="004564F7" w:rsidSect="00E77B94">
          <w:footerReference w:type="default" r:id="rId9"/>
          <w:pgSz w:w="12240" w:h="15840"/>
          <w:pgMar w:top="720" w:right="720" w:bottom="720" w:left="720" w:header="720" w:footer="720" w:gutter="0"/>
          <w:cols w:space="720"/>
          <w:docGrid w:linePitch="360"/>
        </w:sectPr>
      </w:pPr>
    </w:p>
    <w:p w14:paraId="36BCBBA0" w14:textId="122736F7" w:rsidR="00C13D02" w:rsidRDefault="00DD05A1" w:rsidP="00DD05A1">
      <w:pPr>
        <w:spacing w:after="0" w:line="240" w:lineRule="auto"/>
        <w:rPr>
          <w:b/>
          <w:sz w:val="23"/>
          <w:szCs w:val="23"/>
        </w:rPr>
      </w:pPr>
      <w:r w:rsidRPr="004564F7">
        <w:rPr>
          <w:noProof/>
          <w:sz w:val="23"/>
          <w:szCs w:val="23"/>
        </w:rPr>
        <w:lastRenderedPageBreak/>
        <w:drawing>
          <wp:anchor distT="0" distB="0" distL="114300" distR="114300" simplePos="0" relativeHeight="251657728" behindDoc="1" locked="0" layoutInCell="1" allowOverlap="1" wp14:anchorId="7040BBA2" wp14:editId="52014764">
            <wp:simplePos x="0" y="0"/>
            <wp:positionH relativeFrom="margin">
              <wp:posOffset>3763645</wp:posOffset>
            </wp:positionH>
            <wp:positionV relativeFrom="paragraph">
              <wp:posOffset>13970</wp:posOffset>
            </wp:positionV>
            <wp:extent cx="3513455" cy="2057400"/>
            <wp:effectExtent l="0" t="0" r="0" b="0"/>
            <wp:wrapTight wrapText="bothSides">
              <wp:wrapPolygon edited="0">
                <wp:start x="0" y="0"/>
                <wp:lineTo x="0" y="21400"/>
                <wp:lineTo x="21432" y="21400"/>
                <wp:lineTo x="214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erdraft fees medium income.jpg"/>
                    <pic:cNvPicPr/>
                  </pic:nvPicPr>
                  <pic:blipFill>
                    <a:blip r:embed="rId10">
                      <a:extLst>
                        <a:ext uri="{28A0092B-C50C-407E-A947-70E740481C1C}">
                          <a14:useLocalDpi xmlns:a14="http://schemas.microsoft.com/office/drawing/2010/main" val="0"/>
                        </a:ext>
                      </a:extLst>
                    </a:blip>
                    <a:stretch>
                      <a:fillRect/>
                    </a:stretch>
                  </pic:blipFill>
                  <pic:spPr>
                    <a:xfrm>
                      <a:off x="0" y="0"/>
                      <a:ext cx="3513455" cy="2057400"/>
                    </a:xfrm>
                    <a:prstGeom prst="rect">
                      <a:avLst/>
                    </a:prstGeom>
                  </pic:spPr>
                </pic:pic>
              </a:graphicData>
            </a:graphic>
            <wp14:sizeRelH relativeFrom="page">
              <wp14:pctWidth>0</wp14:pctWidth>
            </wp14:sizeRelH>
            <wp14:sizeRelV relativeFrom="page">
              <wp14:pctHeight>0</wp14:pctHeight>
            </wp14:sizeRelV>
          </wp:anchor>
        </w:drawing>
      </w:r>
      <w:r w:rsidR="00C13D02" w:rsidRPr="004564F7">
        <w:rPr>
          <w:b/>
          <w:sz w:val="23"/>
          <w:szCs w:val="23"/>
        </w:rPr>
        <w:t>One overdraft fee can create a cascade of consequences:</w:t>
      </w:r>
    </w:p>
    <w:p w14:paraId="0176BDDF" w14:textId="2A76299D" w:rsidR="003E5BF4" w:rsidRPr="00DD05A1" w:rsidRDefault="003E5BF4" w:rsidP="00DD05A1">
      <w:pPr>
        <w:spacing w:after="0" w:line="240" w:lineRule="auto"/>
        <w:rPr>
          <w:b/>
          <w:sz w:val="16"/>
          <w:szCs w:val="16"/>
        </w:rPr>
      </w:pPr>
    </w:p>
    <w:p w14:paraId="435ED832" w14:textId="1F0DC9CA" w:rsidR="00C808F1" w:rsidRPr="004564F7" w:rsidRDefault="00725EF7" w:rsidP="00DD05A1">
      <w:pPr>
        <w:pStyle w:val="ListParagraph"/>
        <w:numPr>
          <w:ilvl w:val="0"/>
          <w:numId w:val="5"/>
        </w:numPr>
        <w:spacing w:after="0" w:line="240" w:lineRule="auto"/>
        <w:ind w:left="360"/>
        <w:rPr>
          <w:sz w:val="23"/>
          <w:szCs w:val="23"/>
        </w:rPr>
      </w:pPr>
      <w:r w:rsidRPr="004564F7">
        <w:rPr>
          <w:sz w:val="23"/>
          <w:szCs w:val="23"/>
        </w:rPr>
        <w:t xml:space="preserve">Nearly 2 million Americans pay $700 or more in overdraft fees annually. </w:t>
      </w:r>
      <w:r w:rsidR="00C808F1" w:rsidRPr="004564F7">
        <w:rPr>
          <w:sz w:val="23"/>
          <w:szCs w:val="23"/>
        </w:rPr>
        <w:t xml:space="preserve">For a low income family, </w:t>
      </w:r>
      <w:proofErr w:type="spellStart"/>
      <w:r w:rsidR="00C808F1" w:rsidRPr="004564F7">
        <w:rPr>
          <w:sz w:val="23"/>
          <w:szCs w:val="23"/>
        </w:rPr>
        <w:t>loosing</w:t>
      </w:r>
      <w:proofErr w:type="spellEnd"/>
      <w:r w:rsidR="00C808F1" w:rsidRPr="004564F7">
        <w:rPr>
          <w:sz w:val="23"/>
          <w:szCs w:val="23"/>
        </w:rPr>
        <w:t xml:space="preserve"> these funds may put other needed expenses out of reach.</w:t>
      </w:r>
      <w:r w:rsidR="002A246A" w:rsidRPr="002A246A">
        <w:rPr>
          <w:sz w:val="23"/>
          <w:szCs w:val="23"/>
          <w:vertAlign w:val="superscript"/>
        </w:rPr>
        <w:t xml:space="preserve"> 1</w:t>
      </w:r>
      <w:r w:rsidR="00C808F1" w:rsidRPr="004564F7">
        <w:rPr>
          <w:sz w:val="23"/>
          <w:szCs w:val="23"/>
        </w:rPr>
        <w:t xml:space="preserve"> </w:t>
      </w:r>
    </w:p>
    <w:p w14:paraId="2898DB3F" w14:textId="77777777" w:rsidR="003E5BF4" w:rsidRPr="00DD05A1" w:rsidRDefault="002D063F" w:rsidP="00DD05A1">
      <w:pPr>
        <w:pStyle w:val="ListParagraph"/>
        <w:numPr>
          <w:ilvl w:val="0"/>
          <w:numId w:val="5"/>
        </w:numPr>
        <w:spacing w:after="0" w:line="240" w:lineRule="auto"/>
        <w:ind w:left="360"/>
        <w:rPr>
          <w:b/>
          <w:sz w:val="23"/>
          <w:szCs w:val="23"/>
        </w:rPr>
      </w:pPr>
      <w:r w:rsidRPr="00B96A9E">
        <w:rPr>
          <w:sz w:val="23"/>
          <w:szCs w:val="23"/>
        </w:rPr>
        <w:t>C</w:t>
      </w:r>
      <w:r w:rsidR="00C13D02" w:rsidRPr="00B96A9E">
        <w:rPr>
          <w:sz w:val="23"/>
          <w:szCs w:val="23"/>
        </w:rPr>
        <w:t>ostly overdraft fee practices push some families out of the banking system altogether. FDIC data indicate that approximately 778,800 households and over 1 million adults who once had bank accounts are currently unbanked (primarily due to high or unpredictable fees).</w:t>
      </w:r>
      <w:r w:rsidR="00B96A9E" w:rsidRPr="00B96A9E">
        <w:rPr>
          <w:sz w:val="23"/>
          <w:szCs w:val="23"/>
          <w:vertAlign w:val="superscript"/>
        </w:rPr>
        <w:t xml:space="preserve"> 1</w:t>
      </w:r>
    </w:p>
    <w:p w14:paraId="0B1FC01B" w14:textId="77777777" w:rsidR="003E5BF4" w:rsidRDefault="003E5BF4" w:rsidP="00DD05A1">
      <w:pPr>
        <w:spacing w:after="0" w:line="240" w:lineRule="auto"/>
        <w:rPr>
          <w:sz w:val="23"/>
          <w:szCs w:val="23"/>
        </w:rPr>
      </w:pPr>
    </w:p>
    <w:p w14:paraId="5C197278" w14:textId="77777777" w:rsidR="003E5BF4" w:rsidRDefault="003E5BF4" w:rsidP="00DD05A1">
      <w:pPr>
        <w:spacing w:after="0" w:line="240" w:lineRule="auto"/>
        <w:rPr>
          <w:sz w:val="23"/>
          <w:szCs w:val="23"/>
        </w:rPr>
      </w:pPr>
    </w:p>
    <w:p w14:paraId="57495B4E" w14:textId="77777777" w:rsidR="00A50B90" w:rsidRPr="00DD05A1" w:rsidRDefault="00C13D02" w:rsidP="00DD05A1">
      <w:pPr>
        <w:spacing w:after="0" w:line="240" w:lineRule="auto"/>
        <w:rPr>
          <w:b/>
          <w:sz w:val="23"/>
          <w:szCs w:val="23"/>
        </w:rPr>
      </w:pPr>
      <w:r w:rsidRPr="00DD05A1">
        <w:rPr>
          <w:sz w:val="23"/>
          <w:szCs w:val="23"/>
        </w:rPr>
        <w:t xml:space="preserve">  </w:t>
      </w:r>
    </w:p>
    <w:p w14:paraId="3440A6E3" w14:textId="3DDDDEB7" w:rsidR="00E112AF" w:rsidRPr="00A50B90" w:rsidRDefault="00E77B94" w:rsidP="00A50B90">
      <w:pPr>
        <w:rPr>
          <w:b/>
          <w:sz w:val="23"/>
          <w:szCs w:val="23"/>
        </w:rPr>
      </w:pPr>
      <w:r>
        <w:rPr>
          <w:b/>
          <w:sz w:val="23"/>
          <w:szCs w:val="23"/>
        </w:rPr>
        <w:t>Banks make millions from high cost overdraft loans: that’s one real reason they don’t offer lower cost short term loans.</w:t>
      </w:r>
    </w:p>
    <w:p w14:paraId="2F4F2D5B" w14:textId="12A6286E" w:rsidR="002D063F" w:rsidRDefault="002D063F" w:rsidP="002D063F">
      <w:pPr>
        <w:pStyle w:val="NormalWeb"/>
        <w:numPr>
          <w:ilvl w:val="0"/>
          <w:numId w:val="1"/>
        </w:numPr>
        <w:spacing w:before="0" w:beforeAutospacing="0" w:after="0" w:afterAutospacing="0"/>
        <w:rPr>
          <w:rFonts w:asciiTheme="minorHAnsi" w:eastAsiaTheme="minorHAnsi" w:hAnsiTheme="minorHAnsi" w:cstheme="minorBidi"/>
          <w:sz w:val="23"/>
          <w:szCs w:val="23"/>
        </w:rPr>
      </w:pPr>
      <w:r w:rsidRPr="004564F7">
        <w:rPr>
          <w:rFonts w:asciiTheme="minorHAnsi" w:eastAsiaTheme="minorHAnsi" w:hAnsiTheme="minorHAnsi" w:cstheme="minorBidi"/>
          <w:sz w:val="23"/>
          <w:szCs w:val="23"/>
        </w:rPr>
        <w:t>The typical overdraft fee is $34, yet a CFPB </w:t>
      </w:r>
      <w:hyperlink r:id="rId11" w:tgtFrame="_blank" w:history="1">
        <w:r w:rsidRPr="004564F7">
          <w:rPr>
            <w:rFonts w:asciiTheme="minorHAnsi" w:eastAsiaTheme="minorHAnsi" w:hAnsiTheme="minorHAnsi" w:cstheme="minorBidi"/>
            <w:sz w:val="23"/>
            <w:szCs w:val="23"/>
          </w:rPr>
          <w:t>study</w:t>
        </w:r>
      </w:hyperlink>
      <w:r w:rsidRPr="004564F7">
        <w:rPr>
          <w:rFonts w:asciiTheme="minorHAnsi" w:eastAsiaTheme="minorHAnsi" w:hAnsiTheme="minorHAnsi" w:cstheme="minorBidi"/>
          <w:sz w:val="23"/>
          <w:szCs w:val="23"/>
        </w:rPr>
        <w:t> found that the majority of overdrafts occur on transactions of $24 or less</w:t>
      </w:r>
      <w:r w:rsidR="00ED2EBF">
        <w:rPr>
          <w:rFonts w:asciiTheme="minorHAnsi" w:eastAsiaTheme="minorHAnsi" w:hAnsiTheme="minorHAnsi" w:cstheme="minorBidi"/>
          <w:sz w:val="23"/>
          <w:szCs w:val="23"/>
        </w:rPr>
        <w:t xml:space="preserve">. Treated as the loan that it is, that </w:t>
      </w:r>
      <w:r w:rsidRPr="004564F7">
        <w:rPr>
          <w:rFonts w:asciiTheme="minorHAnsi" w:eastAsiaTheme="minorHAnsi" w:hAnsiTheme="minorHAnsi" w:cstheme="minorBidi"/>
          <w:sz w:val="23"/>
          <w:szCs w:val="23"/>
        </w:rPr>
        <w:t xml:space="preserve">$24 from the bank </w:t>
      </w:r>
      <w:r w:rsidR="00ED2EBF">
        <w:rPr>
          <w:rFonts w:asciiTheme="minorHAnsi" w:eastAsiaTheme="minorHAnsi" w:hAnsiTheme="minorHAnsi" w:cstheme="minorBidi"/>
          <w:sz w:val="23"/>
          <w:szCs w:val="23"/>
        </w:rPr>
        <w:t xml:space="preserve">has </w:t>
      </w:r>
      <w:r w:rsidRPr="004564F7">
        <w:rPr>
          <w:rFonts w:asciiTheme="minorHAnsi" w:eastAsiaTheme="minorHAnsi" w:hAnsiTheme="minorHAnsi" w:cstheme="minorBidi"/>
          <w:sz w:val="23"/>
          <w:szCs w:val="23"/>
        </w:rPr>
        <w:t>a whopping 17,000% annual percentage rate (APR).</w:t>
      </w:r>
      <w:r w:rsidR="003E5BF4">
        <w:rPr>
          <w:rFonts w:asciiTheme="minorHAnsi" w:eastAsiaTheme="minorHAnsi" w:hAnsiTheme="minorHAnsi" w:cstheme="minorBidi"/>
          <w:sz w:val="23"/>
          <w:szCs w:val="23"/>
          <w:vertAlign w:val="superscript"/>
        </w:rPr>
        <w:t>3</w:t>
      </w:r>
      <w:r w:rsidRPr="004564F7">
        <w:rPr>
          <w:rFonts w:asciiTheme="minorHAnsi" w:eastAsiaTheme="minorHAnsi" w:hAnsiTheme="minorHAnsi" w:cstheme="minorBidi"/>
          <w:sz w:val="23"/>
          <w:szCs w:val="23"/>
        </w:rPr>
        <w:t xml:space="preserve"> </w:t>
      </w:r>
    </w:p>
    <w:p w14:paraId="0ABFB697" w14:textId="7346C3DA" w:rsidR="00B96A9E" w:rsidRDefault="003E5BF4" w:rsidP="009C3A30">
      <w:pPr>
        <w:pStyle w:val="ListParagraph"/>
        <w:numPr>
          <w:ilvl w:val="0"/>
          <w:numId w:val="1"/>
        </w:numPr>
        <w:spacing w:after="0"/>
        <w:rPr>
          <w:sz w:val="23"/>
          <w:szCs w:val="23"/>
        </w:rPr>
      </w:pPr>
      <w:r>
        <w:rPr>
          <w:sz w:val="23"/>
          <w:szCs w:val="23"/>
        </w:rPr>
        <w:t>(</w:t>
      </w:r>
      <w:proofErr w:type="gramStart"/>
      <w:r>
        <w:rPr>
          <w:sz w:val="23"/>
          <w:szCs w:val="23"/>
        </w:rPr>
        <w:t>removed</w:t>
      </w:r>
      <w:proofErr w:type="gramEnd"/>
      <w:r>
        <w:rPr>
          <w:sz w:val="23"/>
          <w:szCs w:val="23"/>
        </w:rPr>
        <w:t xml:space="preserve"> for space saving purposes o</w:t>
      </w:r>
      <w:bookmarkStart w:id="0" w:name="_GoBack"/>
      <w:bookmarkEnd w:id="0"/>
      <w:r>
        <w:rPr>
          <w:sz w:val="23"/>
          <w:szCs w:val="23"/>
        </w:rPr>
        <w:t xml:space="preserve">nly). </w:t>
      </w:r>
      <w:r w:rsidR="002D661B" w:rsidRPr="00B96A9E">
        <w:rPr>
          <w:sz w:val="23"/>
          <w:szCs w:val="23"/>
        </w:rPr>
        <w:t>Predatory practices like check re-ordering</w:t>
      </w:r>
      <w:r w:rsidR="005B7627" w:rsidRPr="00B96A9E">
        <w:rPr>
          <w:sz w:val="23"/>
          <w:szCs w:val="23"/>
        </w:rPr>
        <w:t>,</w:t>
      </w:r>
      <w:r w:rsidR="00BC3A91" w:rsidRPr="00B96A9E">
        <w:rPr>
          <w:sz w:val="23"/>
          <w:szCs w:val="23"/>
        </w:rPr>
        <w:t xml:space="preserve"> </w:t>
      </w:r>
      <w:r w:rsidR="00A50B90">
        <w:rPr>
          <w:sz w:val="23"/>
          <w:szCs w:val="23"/>
        </w:rPr>
        <w:t>which</w:t>
      </w:r>
      <w:r w:rsidR="002D661B" w:rsidRPr="00B96A9E">
        <w:rPr>
          <w:sz w:val="23"/>
          <w:szCs w:val="23"/>
        </w:rPr>
        <w:t xml:space="preserve"> Wells Fargo</w:t>
      </w:r>
      <w:r w:rsidR="00A50B90">
        <w:rPr>
          <w:sz w:val="23"/>
          <w:szCs w:val="23"/>
        </w:rPr>
        <w:t xml:space="preserve"> has long defended</w:t>
      </w:r>
      <w:r w:rsidR="002D661B" w:rsidRPr="00B96A9E">
        <w:rPr>
          <w:sz w:val="23"/>
          <w:szCs w:val="23"/>
        </w:rPr>
        <w:t>, are specifically designed to increase customer overdrafts, and thereby increase the fees extracted from their customers</w:t>
      </w:r>
      <w:r w:rsidR="004564F7" w:rsidRPr="00B96A9E">
        <w:rPr>
          <w:sz w:val="23"/>
          <w:szCs w:val="23"/>
        </w:rPr>
        <w:t xml:space="preserve"> for the service of providing a short term loan</w:t>
      </w:r>
      <w:r w:rsidR="002D661B" w:rsidRPr="00B96A9E">
        <w:rPr>
          <w:sz w:val="23"/>
          <w:szCs w:val="23"/>
        </w:rPr>
        <w:t>.</w:t>
      </w:r>
      <w:r>
        <w:rPr>
          <w:sz w:val="23"/>
          <w:szCs w:val="23"/>
          <w:vertAlign w:val="superscript"/>
        </w:rPr>
        <w:t>2</w:t>
      </w:r>
      <w:r w:rsidR="002D661B" w:rsidRPr="00B96A9E">
        <w:rPr>
          <w:sz w:val="23"/>
          <w:szCs w:val="23"/>
        </w:rPr>
        <w:t xml:space="preserve"> </w:t>
      </w:r>
    </w:p>
    <w:p w14:paraId="32899746" w14:textId="6E184069" w:rsidR="00DD05A1" w:rsidRPr="00DD05A1" w:rsidRDefault="003E5BF4" w:rsidP="00DD05A1">
      <w:pPr>
        <w:pStyle w:val="ListParagraph"/>
        <w:numPr>
          <w:ilvl w:val="0"/>
          <w:numId w:val="1"/>
        </w:numPr>
        <w:spacing w:after="0"/>
        <w:rPr>
          <w:sz w:val="23"/>
          <w:szCs w:val="23"/>
        </w:rPr>
      </w:pPr>
      <w:r w:rsidRPr="003E5BF4">
        <w:rPr>
          <w:sz w:val="23"/>
          <w:szCs w:val="23"/>
        </w:rPr>
        <w:t>Debit card purchases are the most common trigger of overdraft fees.  ATM withdrawals can also trigger overdraft fees.  Both of these transactions could easily be declined for no fee with the customer lacks sufficient funds.  Some banks choose not to charge overdraft fees on one or the other; Bank of America and Citi do not charge them on debit card purchases; Citi and Chase do not charge them on ATM withdrawals.  Wells Fargo charges them on both.</w:t>
      </w:r>
    </w:p>
    <w:p w14:paraId="2ECCE9FB" w14:textId="77777777" w:rsidR="00E112AF" w:rsidRPr="003E5BF4" w:rsidRDefault="00E112AF" w:rsidP="00DD05A1">
      <w:pPr>
        <w:spacing w:after="0"/>
        <w:rPr>
          <w:sz w:val="23"/>
          <w:szCs w:val="23"/>
        </w:rPr>
      </w:pPr>
    </w:p>
    <w:p w14:paraId="583FA07D" w14:textId="378040D6" w:rsidR="002A246A" w:rsidRPr="00E266C3" w:rsidRDefault="00B96A9E" w:rsidP="002A246A">
      <w:pPr>
        <w:pStyle w:val="Footer"/>
        <w:rPr>
          <w:sz w:val="20"/>
          <w:szCs w:val="20"/>
        </w:rPr>
      </w:pPr>
      <w:r w:rsidRPr="00E266C3">
        <w:rPr>
          <w:noProof/>
          <w:sz w:val="20"/>
          <w:szCs w:val="20"/>
        </w:rPr>
        <mc:AlternateContent>
          <mc:Choice Requires="wps">
            <w:drawing>
              <wp:anchor distT="0" distB="0" distL="114300" distR="114300" simplePos="0" relativeHeight="251658752" behindDoc="0" locked="0" layoutInCell="1" allowOverlap="1" wp14:anchorId="436165AF" wp14:editId="0A86CBAF">
                <wp:simplePos x="0" y="0"/>
                <wp:positionH relativeFrom="margin">
                  <wp:posOffset>-635</wp:posOffset>
                </wp:positionH>
                <wp:positionV relativeFrom="paragraph">
                  <wp:posOffset>10160</wp:posOffset>
                </wp:positionV>
                <wp:extent cx="2085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B63796" id="Straight Connector 1" o:spid="_x0000_s1026" style="position:absolute;z-index:251658752;visibility:visible;mso-wrap-style:square;mso-wrap-distance-left:9pt;mso-wrap-distance-top:0;mso-wrap-distance-right:9pt;mso-wrap-distance-bottom:0;mso-position-horizontal:absolute;mso-position-horizontal-relative:margin;mso-position-vertical:absolute;mso-position-vertical-relative:text" from="-.05pt,.8pt" to="16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" strokecolor="black [3200]" strokeweight=".5pt">
                <v:stroke joinstyle="miter"/>
                <w10:wrap anchorx="margin"/>
              </v:line>
            </w:pict>
          </mc:Fallback>
        </mc:AlternateContent>
      </w:r>
      <w:r w:rsidR="002A246A" w:rsidRPr="00E266C3">
        <w:rPr>
          <w:sz w:val="20"/>
          <w:szCs w:val="20"/>
          <w:vertAlign w:val="superscript"/>
        </w:rPr>
        <w:t xml:space="preserve">1 </w:t>
      </w:r>
      <w:r w:rsidR="002A246A" w:rsidRPr="00E266C3">
        <w:rPr>
          <w:sz w:val="20"/>
          <w:szCs w:val="20"/>
        </w:rPr>
        <w:t>Center for Responsible Lending, Broken Banking “How Overdraft Fees Harm Consumers and Discourage Responsible Bank Products (May 2016),</w:t>
      </w:r>
    </w:p>
    <w:p w14:paraId="1BFCBCBF" w14:textId="77777777" w:rsidR="002A246A" w:rsidRPr="00E266C3" w:rsidRDefault="005D7724" w:rsidP="002A246A">
      <w:pPr>
        <w:pStyle w:val="Footer"/>
        <w:rPr>
          <w:sz w:val="20"/>
          <w:szCs w:val="20"/>
        </w:rPr>
      </w:pPr>
      <w:hyperlink r:id="rId12" w:history="1">
        <w:r w:rsidR="002A246A" w:rsidRPr="00E266C3">
          <w:rPr>
            <w:rStyle w:val="Hyperlink"/>
            <w:rFonts w:ascii="Arial" w:hAnsi="Arial" w:cs="Arial"/>
            <w:sz w:val="20"/>
            <w:szCs w:val="20"/>
            <w:shd w:val="clear" w:color="auto" w:fill="FFFFFF"/>
          </w:rPr>
          <w:t>http://www.responsiblelending.org/sites/default/files/nodes/files/research-publication/crl_broken_banking_may2016.pdf</w:t>
        </w:r>
      </w:hyperlink>
    </w:p>
    <w:p w14:paraId="49E19CFD" w14:textId="64E49BC9" w:rsidR="00A50B90" w:rsidRPr="00E266C3" w:rsidRDefault="00A50B90" w:rsidP="00A50B90">
      <w:pPr>
        <w:pStyle w:val="Footer"/>
        <w:rPr>
          <w:sz w:val="20"/>
          <w:szCs w:val="20"/>
        </w:rPr>
      </w:pPr>
      <w:r w:rsidRPr="00E266C3">
        <w:rPr>
          <w:sz w:val="20"/>
          <w:szCs w:val="20"/>
          <w:vertAlign w:val="superscript"/>
        </w:rPr>
        <w:t>2</w:t>
      </w:r>
      <w:r w:rsidRPr="00E266C3">
        <w:rPr>
          <w:sz w:val="20"/>
          <w:szCs w:val="20"/>
        </w:rPr>
        <w:t xml:space="preserve"> </w:t>
      </w:r>
      <w:r w:rsidRPr="00E266C3">
        <w:rPr>
          <w:rFonts w:cs="Arial"/>
          <w:bCs/>
          <w:i/>
          <w:sz w:val="20"/>
          <w:szCs w:val="20"/>
        </w:rPr>
        <w:t>Gutierrez v. Wells Fargo Bank, N.A.,</w:t>
      </w:r>
      <w:r w:rsidRPr="00E266C3">
        <w:rPr>
          <w:rFonts w:cs="Arial"/>
          <w:bCs/>
          <w:sz w:val="20"/>
          <w:szCs w:val="20"/>
        </w:rPr>
        <w:t xml:space="preserve"> 730 F.Supp.2d 1080 (9th Cir. 2012)</w:t>
      </w:r>
    </w:p>
    <w:p w14:paraId="6F507930" w14:textId="7BB5E199" w:rsidR="002A246A" w:rsidRPr="00E266C3" w:rsidRDefault="00A50B90" w:rsidP="002A246A">
      <w:pPr>
        <w:pStyle w:val="Footer"/>
        <w:rPr>
          <w:sz w:val="20"/>
          <w:szCs w:val="20"/>
        </w:rPr>
      </w:pPr>
      <w:r w:rsidRPr="00E266C3">
        <w:rPr>
          <w:sz w:val="20"/>
          <w:szCs w:val="20"/>
          <w:vertAlign w:val="superscript"/>
        </w:rPr>
        <w:t>3</w:t>
      </w:r>
      <w:r w:rsidR="002A246A" w:rsidRPr="00E266C3">
        <w:rPr>
          <w:sz w:val="20"/>
          <w:szCs w:val="20"/>
          <w:vertAlign w:val="superscript"/>
        </w:rPr>
        <w:t xml:space="preserve"> </w:t>
      </w:r>
      <w:r w:rsidR="002A246A" w:rsidRPr="00E266C3">
        <w:rPr>
          <w:sz w:val="20"/>
          <w:szCs w:val="20"/>
        </w:rPr>
        <w:t>CNN: Money: ATM Overdraft Fees Top $6 billion at the Big 3 Banks, (January 2016)</w:t>
      </w:r>
      <w:r w:rsidR="00173A52" w:rsidRPr="00E266C3">
        <w:rPr>
          <w:sz w:val="20"/>
          <w:szCs w:val="20"/>
        </w:rPr>
        <w:t>,</w:t>
      </w:r>
    </w:p>
    <w:p w14:paraId="056528DA" w14:textId="64862E82" w:rsidR="00C13D02" w:rsidRPr="00E266C3" w:rsidRDefault="005D7724" w:rsidP="002A246A">
      <w:pPr>
        <w:pStyle w:val="Footer"/>
        <w:rPr>
          <w:sz w:val="20"/>
          <w:szCs w:val="20"/>
        </w:rPr>
      </w:pPr>
      <w:hyperlink r:id="rId13" w:history="1">
        <w:r w:rsidR="002A246A" w:rsidRPr="00E266C3">
          <w:rPr>
            <w:rStyle w:val="Hyperlink"/>
            <w:rFonts w:ascii="Arial" w:hAnsi="Arial" w:cs="Arial"/>
            <w:sz w:val="20"/>
            <w:szCs w:val="20"/>
          </w:rPr>
          <w:t>http://money.cnn.com/2016/01/14/investing/atm-overdraft-fees/</w:t>
        </w:r>
      </w:hyperlink>
    </w:p>
    <w:sectPr w:rsidR="00C13D02" w:rsidRPr="00E266C3" w:rsidSect="00DD05A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82FD7" w14:textId="77777777" w:rsidR="005D7724" w:rsidRDefault="005D7724" w:rsidP="00E87A24">
      <w:pPr>
        <w:spacing w:after="0" w:line="240" w:lineRule="auto"/>
      </w:pPr>
      <w:r>
        <w:separator/>
      </w:r>
    </w:p>
  </w:endnote>
  <w:endnote w:type="continuationSeparator" w:id="0">
    <w:p w14:paraId="5DC40C8F" w14:textId="77777777" w:rsidR="005D7724" w:rsidRDefault="005D7724" w:rsidP="00E8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DBEA5" w14:textId="7F61C316" w:rsidR="00DD05A1" w:rsidRPr="00DD05A1" w:rsidRDefault="00DD05A1" w:rsidP="00DD05A1">
    <w:pPr>
      <w:pStyle w:val="Footer"/>
      <w:jc w:val="right"/>
      <w:rPr>
        <w:i/>
      </w:rPr>
    </w:pPr>
    <w:r w:rsidRPr="00DD05A1">
      <w:rPr>
        <w:i/>
      </w:rPr>
      <w:t xml:space="preserve">For more information contact </w:t>
    </w:r>
    <w:proofErr w:type="spellStart"/>
    <w:r w:rsidRPr="00DD05A1">
      <w:rPr>
        <w:i/>
      </w:rPr>
      <w:t>Gynnie</w:t>
    </w:r>
    <w:proofErr w:type="spellEnd"/>
    <w:r w:rsidRPr="00DD05A1">
      <w:rPr>
        <w:i/>
      </w:rPr>
      <w:t xml:space="preserve"> </w:t>
    </w:r>
    <w:proofErr w:type="spellStart"/>
    <w:r w:rsidRPr="00DD05A1">
      <w:rPr>
        <w:i/>
      </w:rPr>
      <w:t>Robnett</w:t>
    </w:r>
    <w:proofErr w:type="spellEnd"/>
    <w:r w:rsidRPr="00DD05A1">
      <w:rPr>
        <w:i/>
      </w:rPr>
      <w:t xml:space="preserve"> at </w:t>
    </w:r>
    <w:hyperlink r:id="rId1" w:history="1">
      <w:r w:rsidRPr="00DD05A1">
        <w:rPr>
          <w:rStyle w:val="Hyperlink"/>
          <w:i/>
        </w:rPr>
        <w:t>gynnie@ourfinancialsecurity.org</w:t>
      </w:r>
    </w:hyperlink>
    <w:r w:rsidRPr="00DD05A1">
      <w:rPr>
        <w:i/>
      </w:rPr>
      <w:t xml:space="preserve"> or 202.466.5671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E97A4" w14:textId="77777777" w:rsidR="005D7724" w:rsidRDefault="005D7724" w:rsidP="00E87A24">
      <w:pPr>
        <w:spacing w:after="0" w:line="240" w:lineRule="auto"/>
      </w:pPr>
      <w:r>
        <w:separator/>
      </w:r>
    </w:p>
  </w:footnote>
  <w:footnote w:type="continuationSeparator" w:id="0">
    <w:p w14:paraId="35DEABB6" w14:textId="77777777" w:rsidR="005D7724" w:rsidRDefault="005D7724" w:rsidP="00E8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83C"/>
    <w:multiLevelType w:val="hybridMultilevel"/>
    <w:tmpl w:val="30D00BC8"/>
    <w:lvl w:ilvl="0" w:tplc="EC96D4F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D4418"/>
    <w:multiLevelType w:val="hybridMultilevel"/>
    <w:tmpl w:val="1654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279D1"/>
    <w:multiLevelType w:val="hybridMultilevel"/>
    <w:tmpl w:val="3D8E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52825"/>
    <w:multiLevelType w:val="hybridMultilevel"/>
    <w:tmpl w:val="A568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30404"/>
    <w:multiLevelType w:val="hybridMultilevel"/>
    <w:tmpl w:val="0E30C99C"/>
    <w:lvl w:ilvl="0" w:tplc="EC96D4FA">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02"/>
    <w:rsid w:val="000A0812"/>
    <w:rsid w:val="00121CF7"/>
    <w:rsid w:val="00173A52"/>
    <w:rsid w:val="001B0EF0"/>
    <w:rsid w:val="002054BD"/>
    <w:rsid w:val="00240474"/>
    <w:rsid w:val="002574D2"/>
    <w:rsid w:val="002959BF"/>
    <w:rsid w:val="002A246A"/>
    <w:rsid w:val="002C5414"/>
    <w:rsid w:val="002C5553"/>
    <w:rsid w:val="002D063F"/>
    <w:rsid w:val="002D661B"/>
    <w:rsid w:val="003C1D4E"/>
    <w:rsid w:val="003D3CB0"/>
    <w:rsid w:val="003E5BF4"/>
    <w:rsid w:val="004564F7"/>
    <w:rsid w:val="00486A3D"/>
    <w:rsid w:val="005B7627"/>
    <w:rsid w:val="005D7724"/>
    <w:rsid w:val="006C42A1"/>
    <w:rsid w:val="00725EF7"/>
    <w:rsid w:val="00985488"/>
    <w:rsid w:val="00A061B0"/>
    <w:rsid w:val="00A50B90"/>
    <w:rsid w:val="00AC6C88"/>
    <w:rsid w:val="00B37DFA"/>
    <w:rsid w:val="00B96A9E"/>
    <w:rsid w:val="00BC3A91"/>
    <w:rsid w:val="00C13D02"/>
    <w:rsid w:val="00C808F1"/>
    <w:rsid w:val="00DD05A1"/>
    <w:rsid w:val="00DE7587"/>
    <w:rsid w:val="00E112AF"/>
    <w:rsid w:val="00E266C3"/>
    <w:rsid w:val="00E77B94"/>
    <w:rsid w:val="00E87A24"/>
    <w:rsid w:val="00ED2E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8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D02"/>
    <w:pPr>
      <w:ind w:left="720"/>
      <w:contextualSpacing/>
    </w:pPr>
  </w:style>
  <w:style w:type="paragraph" w:styleId="NormalWeb">
    <w:name w:val="Normal (Web)"/>
    <w:basedOn w:val="Normal"/>
    <w:uiPriority w:val="99"/>
    <w:semiHidden/>
    <w:unhideWhenUsed/>
    <w:rsid w:val="00E11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12AF"/>
  </w:style>
  <w:style w:type="character" w:styleId="Hyperlink">
    <w:name w:val="Hyperlink"/>
    <w:basedOn w:val="DefaultParagraphFont"/>
    <w:uiPriority w:val="99"/>
    <w:unhideWhenUsed/>
    <w:rsid w:val="00E112AF"/>
    <w:rPr>
      <w:color w:val="0000FF"/>
      <w:u w:val="single"/>
    </w:rPr>
  </w:style>
  <w:style w:type="paragraph" w:styleId="BalloonText">
    <w:name w:val="Balloon Text"/>
    <w:basedOn w:val="Normal"/>
    <w:link w:val="BalloonTextChar"/>
    <w:uiPriority w:val="99"/>
    <w:semiHidden/>
    <w:unhideWhenUsed/>
    <w:rsid w:val="002959B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59BF"/>
    <w:rPr>
      <w:rFonts w:ascii="Lucida Grande" w:hAnsi="Lucida Grande"/>
      <w:sz w:val="18"/>
      <w:szCs w:val="18"/>
    </w:rPr>
  </w:style>
  <w:style w:type="paragraph" w:styleId="Header">
    <w:name w:val="header"/>
    <w:basedOn w:val="Normal"/>
    <w:link w:val="HeaderChar"/>
    <w:uiPriority w:val="99"/>
    <w:unhideWhenUsed/>
    <w:rsid w:val="00E87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24"/>
  </w:style>
  <w:style w:type="paragraph" w:styleId="Footer">
    <w:name w:val="footer"/>
    <w:basedOn w:val="Normal"/>
    <w:link w:val="FooterChar"/>
    <w:uiPriority w:val="99"/>
    <w:unhideWhenUsed/>
    <w:rsid w:val="00E87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24"/>
  </w:style>
  <w:style w:type="character" w:styleId="CommentReference">
    <w:name w:val="annotation reference"/>
    <w:basedOn w:val="DefaultParagraphFont"/>
    <w:uiPriority w:val="99"/>
    <w:semiHidden/>
    <w:unhideWhenUsed/>
    <w:rsid w:val="003E5BF4"/>
    <w:rPr>
      <w:sz w:val="16"/>
      <w:szCs w:val="16"/>
    </w:rPr>
  </w:style>
  <w:style w:type="paragraph" w:styleId="CommentText">
    <w:name w:val="annotation text"/>
    <w:basedOn w:val="Normal"/>
    <w:link w:val="CommentTextChar"/>
    <w:uiPriority w:val="99"/>
    <w:semiHidden/>
    <w:unhideWhenUsed/>
    <w:rsid w:val="003E5BF4"/>
    <w:pPr>
      <w:spacing w:line="240" w:lineRule="auto"/>
    </w:pPr>
    <w:rPr>
      <w:sz w:val="20"/>
      <w:szCs w:val="20"/>
    </w:rPr>
  </w:style>
  <w:style w:type="character" w:customStyle="1" w:styleId="CommentTextChar">
    <w:name w:val="Comment Text Char"/>
    <w:basedOn w:val="DefaultParagraphFont"/>
    <w:link w:val="CommentText"/>
    <w:uiPriority w:val="99"/>
    <w:semiHidden/>
    <w:rsid w:val="003E5BF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D02"/>
    <w:pPr>
      <w:ind w:left="720"/>
      <w:contextualSpacing/>
    </w:pPr>
  </w:style>
  <w:style w:type="paragraph" w:styleId="NormalWeb">
    <w:name w:val="Normal (Web)"/>
    <w:basedOn w:val="Normal"/>
    <w:uiPriority w:val="99"/>
    <w:semiHidden/>
    <w:unhideWhenUsed/>
    <w:rsid w:val="00E11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12AF"/>
  </w:style>
  <w:style w:type="character" w:styleId="Hyperlink">
    <w:name w:val="Hyperlink"/>
    <w:basedOn w:val="DefaultParagraphFont"/>
    <w:uiPriority w:val="99"/>
    <w:unhideWhenUsed/>
    <w:rsid w:val="00E112AF"/>
    <w:rPr>
      <w:color w:val="0000FF"/>
      <w:u w:val="single"/>
    </w:rPr>
  </w:style>
  <w:style w:type="paragraph" w:styleId="BalloonText">
    <w:name w:val="Balloon Text"/>
    <w:basedOn w:val="Normal"/>
    <w:link w:val="BalloonTextChar"/>
    <w:uiPriority w:val="99"/>
    <w:semiHidden/>
    <w:unhideWhenUsed/>
    <w:rsid w:val="002959B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59BF"/>
    <w:rPr>
      <w:rFonts w:ascii="Lucida Grande" w:hAnsi="Lucida Grande"/>
      <w:sz w:val="18"/>
      <w:szCs w:val="18"/>
    </w:rPr>
  </w:style>
  <w:style w:type="paragraph" w:styleId="Header">
    <w:name w:val="header"/>
    <w:basedOn w:val="Normal"/>
    <w:link w:val="HeaderChar"/>
    <w:uiPriority w:val="99"/>
    <w:unhideWhenUsed/>
    <w:rsid w:val="00E87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24"/>
  </w:style>
  <w:style w:type="paragraph" w:styleId="Footer">
    <w:name w:val="footer"/>
    <w:basedOn w:val="Normal"/>
    <w:link w:val="FooterChar"/>
    <w:uiPriority w:val="99"/>
    <w:unhideWhenUsed/>
    <w:rsid w:val="00E87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24"/>
  </w:style>
  <w:style w:type="character" w:styleId="CommentReference">
    <w:name w:val="annotation reference"/>
    <w:basedOn w:val="DefaultParagraphFont"/>
    <w:uiPriority w:val="99"/>
    <w:semiHidden/>
    <w:unhideWhenUsed/>
    <w:rsid w:val="003E5BF4"/>
    <w:rPr>
      <w:sz w:val="16"/>
      <w:szCs w:val="16"/>
    </w:rPr>
  </w:style>
  <w:style w:type="paragraph" w:styleId="CommentText">
    <w:name w:val="annotation text"/>
    <w:basedOn w:val="Normal"/>
    <w:link w:val="CommentTextChar"/>
    <w:uiPriority w:val="99"/>
    <w:semiHidden/>
    <w:unhideWhenUsed/>
    <w:rsid w:val="003E5BF4"/>
    <w:pPr>
      <w:spacing w:line="240" w:lineRule="auto"/>
    </w:pPr>
    <w:rPr>
      <w:sz w:val="20"/>
      <w:szCs w:val="20"/>
    </w:rPr>
  </w:style>
  <w:style w:type="character" w:customStyle="1" w:styleId="CommentTextChar">
    <w:name w:val="Comment Text Char"/>
    <w:basedOn w:val="DefaultParagraphFont"/>
    <w:link w:val="CommentText"/>
    <w:uiPriority w:val="99"/>
    <w:semiHidden/>
    <w:rsid w:val="003E5B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70188">
      <w:bodyDiv w:val="1"/>
      <w:marLeft w:val="0"/>
      <w:marRight w:val="0"/>
      <w:marTop w:val="0"/>
      <w:marBottom w:val="0"/>
      <w:divBdr>
        <w:top w:val="none" w:sz="0" w:space="0" w:color="auto"/>
        <w:left w:val="none" w:sz="0" w:space="0" w:color="auto"/>
        <w:bottom w:val="none" w:sz="0" w:space="0" w:color="auto"/>
        <w:right w:val="none" w:sz="0" w:space="0" w:color="auto"/>
      </w:divBdr>
    </w:div>
    <w:div w:id="13720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ney.cnn.com/2016/01/14/investing/atm-overdraft-fe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sponsiblelending.org/sites/default/files/nodes/files/research-publication/crl_broken_banking_may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merfinance.gov/newsroom/cfpb-finds-small-debit-purchases-lead-to-expensive-overdraft-charg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ynnie@ourfinancialsecu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0620-4D8E-498E-A5D4-B78CC16F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Gynnie Robnett</dc:creator>
  <cp:lastModifiedBy>Veronica Meffe</cp:lastModifiedBy>
  <cp:revision>3</cp:revision>
  <cp:lastPrinted>2016-10-25T19:45:00Z</cp:lastPrinted>
  <dcterms:created xsi:type="dcterms:W3CDTF">2016-10-25T19:44:00Z</dcterms:created>
  <dcterms:modified xsi:type="dcterms:W3CDTF">2016-10-25T19:45:00Z</dcterms:modified>
</cp:coreProperties>
</file>