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D" w:rsidRPr="00CC0B52" w:rsidRDefault="006C398D" w:rsidP="00F076B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C0B52">
        <w:rPr>
          <w:rFonts w:ascii="Arial" w:hAnsi="Arial" w:cs="Arial"/>
          <w:b/>
          <w:sz w:val="28"/>
          <w:szCs w:val="28"/>
          <w:u w:val="single"/>
        </w:rPr>
        <w:t>Executive Compensation: Taking Stock</w:t>
      </w:r>
      <w:r w:rsidRPr="00CC0B52">
        <w:rPr>
          <w:rFonts w:ascii="Arial" w:hAnsi="Arial" w:cs="Arial"/>
          <w:b/>
          <w:sz w:val="28"/>
          <w:szCs w:val="28"/>
          <w:u w:val="single"/>
        </w:rPr>
        <w:br/>
      </w:r>
    </w:p>
    <w:p w:rsidR="006C398D" w:rsidRPr="00EB5D5B" w:rsidRDefault="001D4A7F" w:rsidP="006B5579">
      <w:pPr>
        <w:pStyle w:val="PlainText"/>
        <w:rPr>
          <w:rFonts w:ascii="Arial" w:hAnsi="Arial" w:cs="Arial"/>
          <w:sz w:val="20"/>
          <w:szCs w:val="20"/>
        </w:rPr>
      </w:pPr>
      <w:r w:rsidRPr="00EB5D5B">
        <w:rPr>
          <w:rFonts w:ascii="Arial" w:hAnsi="Arial" w:cs="Arial"/>
          <w:sz w:val="20"/>
          <w:szCs w:val="20"/>
        </w:rPr>
        <w:t>Wall Street’s abusive, reckless, and sometimes criminal behavior caused the financial crisis, but executive pay</w:t>
      </w:r>
      <w:r w:rsidR="00D56804" w:rsidRPr="00EB5D5B">
        <w:rPr>
          <w:rFonts w:ascii="Arial" w:hAnsi="Arial" w:cs="Arial"/>
          <w:sz w:val="20"/>
          <w:szCs w:val="20"/>
        </w:rPr>
        <w:t xml:space="preserve"> </w:t>
      </w:r>
      <w:r w:rsidR="0000287C" w:rsidRPr="00EB5D5B">
        <w:rPr>
          <w:rFonts w:ascii="Arial" w:hAnsi="Arial" w:cs="Arial"/>
          <w:sz w:val="20"/>
          <w:szCs w:val="20"/>
        </w:rPr>
        <w:t xml:space="preserve">and profits are </w:t>
      </w:r>
      <w:r w:rsidR="009C40A9" w:rsidRPr="00EB5D5B">
        <w:rPr>
          <w:rFonts w:ascii="Arial" w:hAnsi="Arial" w:cs="Arial"/>
          <w:sz w:val="20"/>
          <w:szCs w:val="20"/>
        </w:rPr>
        <w:t>rebounding</w:t>
      </w:r>
      <w:r w:rsidR="00806208" w:rsidRPr="00EB5D5B">
        <w:rPr>
          <w:rFonts w:ascii="Arial" w:hAnsi="Arial" w:cs="Arial"/>
          <w:sz w:val="20"/>
          <w:szCs w:val="20"/>
        </w:rPr>
        <w:t xml:space="preserve"> </w:t>
      </w:r>
      <w:r w:rsidR="0000287C" w:rsidRPr="00EB5D5B">
        <w:rPr>
          <w:rFonts w:ascii="Arial" w:hAnsi="Arial" w:cs="Arial"/>
          <w:sz w:val="20"/>
          <w:szCs w:val="20"/>
        </w:rPr>
        <w:t>to</w:t>
      </w:r>
      <w:r w:rsidR="00C41D97" w:rsidRPr="00EB5D5B">
        <w:rPr>
          <w:rFonts w:ascii="Arial" w:hAnsi="Arial" w:cs="Arial"/>
          <w:sz w:val="20"/>
          <w:szCs w:val="20"/>
        </w:rPr>
        <w:t xml:space="preserve"> </w:t>
      </w:r>
      <w:r w:rsidR="00A1029B" w:rsidRPr="00EB5D5B">
        <w:rPr>
          <w:rFonts w:ascii="Arial" w:hAnsi="Arial" w:cs="Arial"/>
          <w:sz w:val="20"/>
          <w:szCs w:val="20"/>
        </w:rPr>
        <w:t>record levels</w:t>
      </w:r>
      <w:r w:rsidR="00806208" w:rsidRPr="00EB5D5B">
        <w:rPr>
          <w:rFonts w:ascii="Arial" w:hAnsi="Arial" w:cs="Arial"/>
          <w:sz w:val="20"/>
          <w:szCs w:val="20"/>
        </w:rPr>
        <w:t xml:space="preserve">. </w:t>
      </w:r>
      <w:r w:rsidR="00EB5D5B" w:rsidRPr="00EB5D5B">
        <w:rPr>
          <w:rFonts w:ascii="Arial" w:hAnsi="Arial" w:cs="Arial"/>
          <w:sz w:val="20"/>
          <w:szCs w:val="20"/>
        </w:rPr>
        <w:t xml:space="preserve">Of the largest 25 publicly traded financial firms that have already released their 2010 earnings, the </w:t>
      </w:r>
      <w:r w:rsidR="00EB5D5B" w:rsidRPr="00EB5D5B">
        <w:rPr>
          <w:rFonts w:ascii="Arial" w:hAnsi="Arial" w:cs="Arial"/>
          <w:i/>
          <w:sz w:val="20"/>
          <w:szCs w:val="20"/>
        </w:rPr>
        <w:t>Wall Street Journal</w:t>
      </w:r>
      <w:r w:rsidR="00EB5D5B" w:rsidRPr="00EB5D5B">
        <w:rPr>
          <w:rFonts w:ascii="Arial" w:hAnsi="Arial" w:cs="Arial"/>
          <w:sz w:val="20"/>
          <w:szCs w:val="20"/>
        </w:rPr>
        <w:t xml:space="preserve"> reported that total 2010 compensation and benefits </w:t>
      </w:r>
      <w:r w:rsidR="00312FEC" w:rsidRPr="00EB5D5B">
        <w:rPr>
          <w:rFonts w:ascii="Arial" w:hAnsi="Arial" w:cs="Arial"/>
          <w:sz w:val="20"/>
          <w:szCs w:val="20"/>
        </w:rPr>
        <w:t>“h</w:t>
      </w:r>
      <w:r w:rsidR="003A492F" w:rsidRPr="00EB5D5B">
        <w:rPr>
          <w:rFonts w:ascii="Arial" w:hAnsi="Arial" w:cs="Arial"/>
          <w:sz w:val="20"/>
          <w:szCs w:val="20"/>
        </w:rPr>
        <w:t xml:space="preserve">it a record of $135 billion…up </w:t>
      </w:r>
      <w:r w:rsidR="00312FEC" w:rsidRPr="00EB5D5B">
        <w:rPr>
          <w:rFonts w:ascii="Arial" w:hAnsi="Arial" w:cs="Arial"/>
          <w:sz w:val="20"/>
          <w:szCs w:val="20"/>
        </w:rPr>
        <w:t>5.7</w:t>
      </w:r>
      <w:r w:rsidR="003A492F" w:rsidRPr="00EB5D5B">
        <w:rPr>
          <w:rFonts w:ascii="Arial" w:hAnsi="Arial" w:cs="Arial"/>
          <w:sz w:val="20"/>
          <w:szCs w:val="20"/>
        </w:rPr>
        <w:t>%</w:t>
      </w:r>
      <w:r w:rsidR="00312FEC" w:rsidRPr="00EB5D5B">
        <w:rPr>
          <w:rFonts w:ascii="Arial" w:hAnsi="Arial" w:cs="Arial"/>
          <w:sz w:val="20"/>
          <w:szCs w:val="20"/>
        </w:rPr>
        <w:t xml:space="preserve"> from $128 billion in combined compensation and benefits by the same companies in 2009”</w:t>
      </w:r>
      <w:r w:rsidR="00312FEC" w:rsidRPr="00EB5D5B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785C87" w:rsidRPr="00EB5D5B">
        <w:rPr>
          <w:rFonts w:ascii="Arial" w:hAnsi="Arial" w:cs="Arial"/>
          <w:sz w:val="20"/>
          <w:szCs w:val="20"/>
        </w:rPr>
        <w:t xml:space="preserve"> </w:t>
      </w:r>
    </w:p>
    <w:p w:rsidR="00BA6C8F" w:rsidRDefault="00BA6C8F" w:rsidP="00F076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98D" w:rsidRPr="00F844DF" w:rsidRDefault="000C3295" w:rsidP="00F076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C398D" w:rsidRPr="00F844DF">
        <w:rPr>
          <w:rFonts w:ascii="Arial" w:hAnsi="Arial" w:cs="Arial"/>
          <w:sz w:val="20"/>
          <w:szCs w:val="20"/>
        </w:rPr>
        <w:t xml:space="preserve">ccording to the </w:t>
      </w:r>
      <w:r w:rsidR="00A97CD2" w:rsidRPr="00A97CD2">
        <w:rPr>
          <w:rFonts w:ascii="Arial" w:hAnsi="Arial" w:cs="Arial"/>
          <w:sz w:val="20"/>
          <w:szCs w:val="20"/>
        </w:rPr>
        <w:t>same story</w:t>
      </w:r>
      <w:r w:rsidR="006C398D" w:rsidRPr="00F844DF">
        <w:rPr>
          <w:rFonts w:ascii="Arial" w:hAnsi="Arial" w:cs="Arial"/>
          <w:i/>
          <w:sz w:val="20"/>
          <w:szCs w:val="20"/>
        </w:rPr>
        <w:t>,</w:t>
      </w:r>
      <w:r w:rsidR="006C398D" w:rsidRPr="00F844DF">
        <w:rPr>
          <w:rFonts w:ascii="Arial" w:hAnsi="Arial" w:cs="Arial"/>
          <w:sz w:val="20"/>
          <w:szCs w:val="20"/>
        </w:rPr>
        <w:t xml:space="preserve"> </w:t>
      </w:r>
      <w:r w:rsidR="00F844DF" w:rsidRPr="00F844DF">
        <w:rPr>
          <w:rFonts w:ascii="Arial" w:hAnsi="Arial" w:cs="Arial"/>
          <w:sz w:val="20"/>
          <w:szCs w:val="20"/>
        </w:rPr>
        <w:t>the percentage of revenue that the</w:t>
      </w:r>
      <w:r w:rsidR="007066B6">
        <w:rPr>
          <w:rFonts w:ascii="Arial" w:hAnsi="Arial" w:cs="Arial"/>
          <w:sz w:val="20"/>
          <w:szCs w:val="20"/>
        </w:rPr>
        <w:t>se</w:t>
      </w:r>
      <w:r w:rsidR="00F844DF" w:rsidRPr="00F844DF">
        <w:rPr>
          <w:rFonts w:ascii="Arial" w:hAnsi="Arial" w:cs="Arial"/>
          <w:sz w:val="20"/>
          <w:szCs w:val="20"/>
        </w:rPr>
        <w:t xml:space="preserve"> companies paid in compensation to their employees rose from 31.1 percent in 2009</w:t>
      </w:r>
      <w:r w:rsidR="00243E83">
        <w:rPr>
          <w:rFonts w:ascii="Arial" w:hAnsi="Arial" w:cs="Arial"/>
          <w:sz w:val="20"/>
          <w:szCs w:val="20"/>
        </w:rPr>
        <w:t xml:space="preserve"> to 32.5</w:t>
      </w:r>
      <w:r w:rsidR="00F844DF" w:rsidRPr="00F844DF">
        <w:rPr>
          <w:rFonts w:ascii="Arial" w:hAnsi="Arial" w:cs="Arial"/>
          <w:sz w:val="20"/>
          <w:szCs w:val="20"/>
        </w:rPr>
        <w:t xml:space="preserve"> percent last year. </w:t>
      </w:r>
      <w:r w:rsidR="006C398D" w:rsidRPr="00F844DF">
        <w:rPr>
          <w:rFonts w:ascii="Arial" w:hAnsi="Arial" w:cs="Arial"/>
          <w:sz w:val="20"/>
          <w:szCs w:val="20"/>
        </w:rPr>
        <w:t>“Things are shifting back to where they were before,” said J. Robert Brown, a law professor at the University of Denver who studies compensation and corporate-governance issues.</w:t>
      </w:r>
    </w:p>
    <w:p w:rsidR="006C398D" w:rsidRDefault="006C398D" w:rsidP="00CC0B52">
      <w:pPr>
        <w:spacing w:after="0" w:line="240" w:lineRule="auto"/>
        <w:rPr>
          <w:rFonts w:cs="Arial"/>
          <w:b/>
          <w:u w:val="single"/>
        </w:rPr>
      </w:pPr>
    </w:p>
    <w:p w:rsidR="006C398D" w:rsidRDefault="006C398D" w:rsidP="00CC0B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34FE">
        <w:rPr>
          <w:rFonts w:ascii="Arial" w:hAnsi="Arial" w:cs="Arial"/>
          <w:b/>
          <w:sz w:val="28"/>
          <w:szCs w:val="28"/>
          <w:u w:val="single"/>
        </w:rPr>
        <w:t>Key Players</w:t>
      </w:r>
    </w:p>
    <w:p w:rsidR="006C398D" w:rsidRDefault="006C398D" w:rsidP="00F076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6C398D" w:rsidTr="00F22153">
        <w:tc>
          <w:tcPr>
            <w:tcW w:w="4788" w:type="dxa"/>
          </w:tcPr>
          <w:p w:rsidR="006C398D" w:rsidRPr="00F22153" w:rsidRDefault="00D24680" w:rsidP="00F221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497840</wp:posOffset>
                  </wp:positionV>
                  <wp:extent cx="1447800" cy="1104265"/>
                  <wp:effectExtent l="19050" t="0" r="0" b="0"/>
                  <wp:wrapTight wrapText="bothSides">
                    <wp:wrapPolygon edited="0">
                      <wp:start x="-284" y="0"/>
                      <wp:lineTo x="-284" y="21240"/>
                      <wp:lineTo x="21600" y="21240"/>
                      <wp:lineTo x="21600" y="0"/>
                      <wp:lineTo x="-284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644229" w:rsidRDefault="00644229" w:rsidP="00D91AA7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6C398D" w:rsidRPr="00644229" w:rsidRDefault="006C398D" w:rsidP="00D91AA7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644229">
              <w:rPr>
                <w:rFonts w:ascii="Arial" w:hAnsi="Arial" w:cs="Arial"/>
                <w:b/>
              </w:rPr>
              <w:t>Bank of America</w:t>
            </w:r>
          </w:p>
          <w:p w:rsidR="006C398D" w:rsidRPr="00644229" w:rsidRDefault="006C398D" w:rsidP="00D91AA7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Bank of America Corp. CEO Brian Moynihan received $9.1 million in a deferred-stock bonus for 2010, in addition to his base salary of $950,000, giving him total compensation of $10.1 million.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Taxpayer Bailout = $45 billion</w:t>
            </w:r>
            <w:r w:rsidRPr="00644229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Revenue: $111.4 billion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Net Income: $2.2 billion loss</w:t>
            </w:r>
            <w:r w:rsidRPr="00644229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:rsidR="006C398D" w:rsidRDefault="006C398D" w:rsidP="00644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Total Compensation Paid in 2010: $35.1 billion</w:t>
            </w:r>
          </w:p>
          <w:p w:rsidR="00644229" w:rsidRPr="00644229" w:rsidRDefault="00644229" w:rsidP="00644229">
            <w:pPr>
              <w:spacing w:after="0" w:line="240" w:lineRule="auto"/>
              <w:rPr>
                <w:rFonts w:cs="Arial"/>
              </w:rPr>
            </w:pPr>
          </w:p>
        </w:tc>
      </w:tr>
      <w:tr w:rsidR="006C398D" w:rsidTr="00F22153">
        <w:tc>
          <w:tcPr>
            <w:tcW w:w="4788" w:type="dxa"/>
          </w:tcPr>
          <w:p w:rsidR="006C398D" w:rsidRPr="00F22153" w:rsidRDefault="00D24680" w:rsidP="00F221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364490</wp:posOffset>
                  </wp:positionV>
                  <wp:extent cx="1447800" cy="1123950"/>
                  <wp:effectExtent l="19050" t="0" r="0" b="0"/>
                  <wp:wrapTight wrapText="bothSides">
                    <wp:wrapPolygon edited="0">
                      <wp:start x="-284" y="0"/>
                      <wp:lineTo x="-284" y="21234"/>
                      <wp:lineTo x="21600" y="21234"/>
                      <wp:lineTo x="21600" y="0"/>
                      <wp:lineTo x="-284" y="0"/>
                    </wp:wrapPolygon>
                  </wp:wrapTight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644229" w:rsidRDefault="00644229" w:rsidP="00D91A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4229">
              <w:rPr>
                <w:rFonts w:ascii="Arial" w:hAnsi="Arial" w:cs="Arial"/>
                <w:b/>
              </w:rPr>
              <w:t>Citigroup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Citigroup Inc. raised CEO Vikram Pandit’s salary to an annual base of $1.75m from an income of one dollar.</w:t>
            </w:r>
            <w:r w:rsidRPr="00644229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="001F6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1ED">
              <w:rPr>
                <w:rFonts w:ascii="Arial" w:hAnsi="Arial" w:cs="Arial"/>
                <w:sz w:val="20"/>
                <w:szCs w:val="20"/>
              </w:rPr>
              <w:t>His bonus has not yet been disclosed.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398D" w:rsidRPr="00644229" w:rsidRDefault="006C398D" w:rsidP="00D91A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Taxpayer Bailout = $45 billion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 xml:space="preserve">2010 Revenue: </w:t>
            </w:r>
            <w:r w:rsidRPr="00644229">
              <w:rPr>
                <w:rFonts w:ascii="Arial" w:hAnsi="Arial" w:cs="Arial"/>
                <w:bCs/>
                <w:sz w:val="20"/>
                <w:szCs w:val="20"/>
              </w:rPr>
              <w:t>$65.6 billion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Net Income: $14.9 billion</w:t>
            </w:r>
          </w:p>
          <w:p w:rsidR="00644229" w:rsidRPr="005D1CDE" w:rsidRDefault="006C398D" w:rsidP="0057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Total Compensation Paid in 2010: $24.4 billion</w:t>
            </w:r>
          </w:p>
        </w:tc>
      </w:tr>
      <w:tr w:rsidR="006C398D" w:rsidTr="00F22153">
        <w:tc>
          <w:tcPr>
            <w:tcW w:w="4788" w:type="dxa"/>
          </w:tcPr>
          <w:p w:rsidR="006C398D" w:rsidRPr="00F22153" w:rsidRDefault="00D24680" w:rsidP="00F221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436245</wp:posOffset>
                  </wp:positionV>
                  <wp:extent cx="1466850" cy="1028700"/>
                  <wp:effectExtent l="19050" t="0" r="0" b="0"/>
                  <wp:wrapTight wrapText="bothSides">
                    <wp:wrapPolygon edited="0">
                      <wp:start x="-281" y="0"/>
                      <wp:lineTo x="-281" y="21200"/>
                      <wp:lineTo x="21600" y="21200"/>
                      <wp:lineTo x="21600" y="0"/>
                      <wp:lineTo x="-281" y="0"/>
                    </wp:wrapPolygon>
                  </wp:wrapTight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644229" w:rsidRDefault="00644229" w:rsidP="00D91A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4229">
              <w:rPr>
                <w:rFonts w:ascii="Arial" w:hAnsi="Arial" w:cs="Arial"/>
                <w:b/>
              </w:rPr>
              <w:t>JP Morgan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br/>
              <w:t xml:space="preserve">Although his 2010 income is not yet reported, JPMorgan Chase CEO and Chairman Jamie Dimon </w:t>
            </w:r>
            <w:proofErr w:type="gramStart"/>
            <w:r w:rsidRPr="00644229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44229">
              <w:rPr>
                <w:rFonts w:ascii="Arial" w:hAnsi="Arial" w:cs="Arial"/>
                <w:sz w:val="20"/>
                <w:szCs w:val="20"/>
              </w:rPr>
              <w:t xml:space="preserve"> reportedly expected to earn as much, if not more, than the $17.5 million he took home in 2009.</w:t>
            </w:r>
            <w:r w:rsidRPr="00644229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Taxpayer Bailout = $25 billion</w:t>
            </w:r>
            <w:r w:rsidRPr="00644229">
              <w:rPr>
                <w:rFonts w:ascii="Arial" w:hAnsi="Arial" w:cs="Arial"/>
                <w:sz w:val="20"/>
                <w:szCs w:val="20"/>
              </w:rPr>
              <w:br/>
              <w:t>2010 Revenue: $102.7 billion</w:t>
            </w:r>
          </w:p>
          <w:p w:rsidR="006C398D" w:rsidRPr="00644229" w:rsidRDefault="006C398D" w:rsidP="00D91A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Net Income: $17.4 billion</w:t>
            </w:r>
          </w:p>
          <w:p w:rsidR="006C398D" w:rsidRPr="00644229" w:rsidRDefault="006C398D" w:rsidP="00644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Total Compensation Paid in 2010: $28.1 billion</w:t>
            </w:r>
          </w:p>
          <w:p w:rsidR="00644229" w:rsidRPr="00644229" w:rsidRDefault="00644229" w:rsidP="00644229">
            <w:pPr>
              <w:spacing w:after="0" w:line="240" w:lineRule="auto"/>
              <w:rPr>
                <w:rFonts w:cs="Arial"/>
              </w:rPr>
            </w:pPr>
          </w:p>
        </w:tc>
      </w:tr>
      <w:tr w:rsidR="006C398D" w:rsidTr="00F22153">
        <w:tc>
          <w:tcPr>
            <w:tcW w:w="4788" w:type="dxa"/>
          </w:tcPr>
          <w:p w:rsidR="006C398D" w:rsidRPr="00F22153" w:rsidRDefault="00D24680" w:rsidP="00CC0B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471805</wp:posOffset>
                  </wp:positionV>
                  <wp:extent cx="1447800" cy="1133475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644229" w:rsidRDefault="00644229" w:rsidP="001515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4229">
              <w:rPr>
                <w:rFonts w:ascii="Arial" w:hAnsi="Arial" w:cs="Arial"/>
                <w:b/>
              </w:rPr>
              <w:t>Goldman Sachs</w:t>
            </w: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br/>
              <w:t xml:space="preserve">Goldman Sachs CEO and Chairman Lloyd C. Blankfein received salary and bonuses totaling $13.2 million in 2010. </w:t>
            </w: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 xml:space="preserve">Taxpayer Bailout = $10 billion </w:t>
            </w: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Revenue: $39.2 billion</w:t>
            </w:r>
          </w:p>
          <w:p w:rsidR="006C398D" w:rsidRPr="00644229" w:rsidRDefault="006C398D" w:rsidP="003378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Net Income: $8.4 million</w:t>
            </w:r>
          </w:p>
          <w:p w:rsidR="006C398D" w:rsidRPr="00644229" w:rsidRDefault="006C398D" w:rsidP="00644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Total Compensation Paid in 2010: $15.4 billion</w:t>
            </w:r>
          </w:p>
          <w:p w:rsidR="00644229" w:rsidRPr="00644229" w:rsidRDefault="00644229" w:rsidP="00644229">
            <w:pPr>
              <w:spacing w:after="0" w:line="240" w:lineRule="auto"/>
              <w:rPr>
                <w:rFonts w:cs="Arial"/>
              </w:rPr>
            </w:pPr>
          </w:p>
        </w:tc>
      </w:tr>
      <w:tr w:rsidR="006C398D" w:rsidTr="00F22153">
        <w:tc>
          <w:tcPr>
            <w:tcW w:w="4788" w:type="dxa"/>
          </w:tcPr>
          <w:p w:rsidR="006C398D" w:rsidRPr="00F22153" w:rsidRDefault="00D24680" w:rsidP="00F221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500380</wp:posOffset>
                  </wp:positionV>
                  <wp:extent cx="1371600" cy="1143000"/>
                  <wp:effectExtent l="19050" t="0" r="0" b="0"/>
                  <wp:wrapTight wrapText="bothSides">
                    <wp:wrapPolygon edited="0">
                      <wp:start x="-300" y="0"/>
                      <wp:lineTo x="-300" y="21240"/>
                      <wp:lineTo x="21600" y="21240"/>
                      <wp:lineTo x="21600" y="0"/>
                      <wp:lineTo x="-300" y="0"/>
                    </wp:wrapPolygon>
                  </wp:wrapTight>
                  <wp:docPr id="6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644229" w:rsidRDefault="00644229" w:rsidP="001515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4229">
              <w:rPr>
                <w:rFonts w:ascii="Arial" w:hAnsi="Arial" w:cs="Arial"/>
                <w:b/>
              </w:rPr>
              <w:t>Morgan Stanley</w:t>
            </w:r>
          </w:p>
          <w:p w:rsidR="006C398D" w:rsidRPr="00644229" w:rsidRDefault="006C398D" w:rsidP="001515F3">
            <w:pPr>
              <w:spacing w:after="0" w:line="240" w:lineRule="auto"/>
              <w:ind w:left="23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 xml:space="preserve">According to </w:t>
            </w:r>
            <w:hyperlink r:id="rId12" w:anchor="ixzz1CkZ2iA8V" w:history="1">
              <w:r w:rsidRPr="00644229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 Insider</w:t>
              </w:r>
            </w:hyperlink>
            <w:r w:rsidRPr="00644229">
              <w:rPr>
                <w:rFonts w:ascii="Arial" w:hAnsi="Arial" w:cs="Arial"/>
                <w:sz w:val="20"/>
                <w:szCs w:val="20"/>
              </w:rPr>
              <w:t xml:space="preserve">, Morgan Stanley Inc. awarded CEO James Gorman a $7.4 million bonus, not including his salary which can bring his total compensation to $15 million.   </w:t>
            </w:r>
          </w:p>
          <w:p w:rsidR="006C398D" w:rsidRPr="00644229" w:rsidRDefault="006C398D" w:rsidP="001515F3">
            <w:pPr>
              <w:spacing w:after="0" w:line="240" w:lineRule="auto"/>
              <w:ind w:left="2520"/>
              <w:rPr>
                <w:rFonts w:ascii="Arial" w:hAnsi="Arial" w:cs="Arial"/>
                <w:sz w:val="20"/>
                <w:szCs w:val="20"/>
              </w:rPr>
            </w:pP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 xml:space="preserve">Taxpayer Bailout = $10 billion </w:t>
            </w: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Revenue: $31.6 billion</w:t>
            </w:r>
          </w:p>
          <w:p w:rsidR="006C398D" w:rsidRPr="00644229" w:rsidRDefault="006C398D" w:rsidP="001515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2010 Net Income: $4.5 billion</w:t>
            </w:r>
          </w:p>
          <w:p w:rsidR="006C398D" w:rsidRDefault="006C398D" w:rsidP="00740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229">
              <w:rPr>
                <w:rFonts w:ascii="Arial" w:hAnsi="Arial" w:cs="Arial"/>
                <w:sz w:val="20"/>
                <w:szCs w:val="20"/>
              </w:rPr>
              <w:t>Total Compensation Paid in 2010: $16.0 billion</w:t>
            </w:r>
          </w:p>
          <w:p w:rsidR="00644229" w:rsidRPr="00F22153" w:rsidRDefault="00644229" w:rsidP="0074019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6C398D" w:rsidRPr="009E0F47" w:rsidRDefault="006C398D" w:rsidP="00F076B8">
      <w:pPr>
        <w:spacing w:after="0"/>
        <w:rPr>
          <w:rFonts w:cs="Arial"/>
          <w:b/>
        </w:rPr>
      </w:pPr>
    </w:p>
    <w:sectPr w:rsidR="006C398D" w:rsidRPr="009E0F47" w:rsidSect="00644229">
      <w:headerReference w:type="default" r:id="rId13"/>
      <w:pgSz w:w="12240" w:h="15840" w:code="1"/>
      <w:pgMar w:top="1152" w:right="1296" w:bottom="115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27" w:rsidRDefault="008D4C27">
      <w:r>
        <w:separator/>
      </w:r>
    </w:p>
  </w:endnote>
  <w:endnote w:type="continuationSeparator" w:id="0">
    <w:p w:rsidR="008D4C27" w:rsidRDefault="008D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27" w:rsidRDefault="008D4C27">
      <w:r>
        <w:separator/>
      </w:r>
    </w:p>
  </w:footnote>
  <w:footnote w:type="continuationSeparator" w:id="0">
    <w:p w:rsidR="008D4C27" w:rsidRDefault="008D4C27">
      <w:r>
        <w:continuationSeparator/>
      </w:r>
    </w:p>
  </w:footnote>
  <w:footnote w:id="1">
    <w:p w:rsidR="00312FEC" w:rsidRPr="00644229" w:rsidRDefault="00312FEC" w:rsidP="00312FEC">
      <w:pPr>
        <w:pStyle w:val="FootnoteText"/>
        <w:rPr>
          <w:rFonts w:ascii="Arial" w:hAnsi="Arial" w:cs="Arial"/>
          <w:sz w:val="18"/>
          <w:szCs w:val="18"/>
        </w:rPr>
      </w:pPr>
      <w:r w:rsidRPr="00644229">
        <w:rPr>
          <w:rStyle w:val="FootnoteReference"/>
          <w:rFonts w:ascii="Arial" w:hAnsi="Arial" w:cs="Arial"/>
          <w:sz w:val="18"/>
          <w:szCs w:val="18"/>
        </w:rPr>
        <w:footnoteRef/>
      </w:r>
      <w:r w:rsidRPr="00644229">
        <w:rPr>
          <w:rFonts w:ascii="Arial" w:hAnsi="Arial" w:cs="Arial"/>
          <w:sz w:val="18"/>
          <w:szCs w:val="18"/>
        </w:rPr>
        <w:t xml:space="preserve"> Aaron Lucchetti and Stephen Grocer, “On Street, Pay Vaults to Record Altitude,” </w:t>
      </w:r>
      <w:r w:rsidRPr="00644229">
        <w:rPr>
          <w:rFonts w:ascii="Arial" w:hAnsi="Arial" w:cs="Arial"/>
          <w:i/>
          <w:sz w:val="18"/>
          <w:szCs w:val="18"/>
        </w:rPr>
        <w:t>The Wall Street Journal</w:t>
      </w:r>
      <w:r w:rsidRPr="00644229">
        <w:rPr>
          <w:rFonts w:ascii="Arial" w:hAnsi="Arial" w:cs="Arial"/>
          <w:sz w:val="18"/>
          <w:szCs w:val="18"/>
        </w:rPr>
        <w:t>, Feb. 02, 2011.</w:t>
      </w:r>
    </w:p>
  </w:footnote>
  <w:footnote w:id="2">
    <w:p w:rsidR="006C398D" w:rsidRPr="00644229" w:rsidRDefault="006C398D" w:rsidP="00935FE6">
      <w:pPr>
        <w:pStyle w:val="FootnoteText"/>
        <w:spacing w:after="0"/>
        <w:rPr>
          <w:rFonts w:ascii="Arial" w:hAnsi="Arial" w:cs="Arial"/>
          <w:sz w:val="18"/>
          <w:szCs w:val="18"/>
        </w:rPr>
      </w:pPr>
      <w:r w:rsidRPr="00644229">
        <w:rPr>
          <w:rStyle w:val="FootnoteReference"/>
          <w:rFonts w:ascii="Arial" w:hAnsi="Arial" w:cs="Arial"/>
          <w:sz w:val="18"/>
          <w:szCs w:val="18"/>
        </w:rPr>
        <w:footnoteRef/>
      </w:r>
      <w:r w:rsidRPr="00644229">
        <w:rPr>
          <w:rFonts w:ascii="Arial" w:hAnsi="Arial" w:cs="Arial"/>
          <w:sz w:val="18"/>
          <w:szCs w:val="18"/>
        </w:rPr>
        <w:t xml:space="preserve"> Bailout totals from </w:t>
      </w:r>
      <w:proofErr w:type="spellStart"/>
      <w:r w:rsidRPr="00644229">
        <w:rPr>
          <w:rFonts w:ascii="Arial" w:hAnsi="Arial" w:cs="Arial"/>
          <w:sz w:val="18"/>
          <w:szCs w:val="18"/>
        </w:rPr>
        <w:t>ProPublica</w:t>
      </w:r>
      <w:proofErr w:type="spellEnd"/>
      <w:r w:rsidRPr="00644229">
        <w:rPr>
          <w:rFonts w:ascii="Arial" w:hAnsi="Arial" w:cs="Arial"/>
          <w:sz w:val="18"/>
          <w:szCs w:val="18"/>
        </w:rPr>
        <w:t xml:space="preserve"> (available at: </w:t>
      </w:r>
      <w:hyperlink r:id="rId1" w:history="1">
        <w:r w:rsidRPr="00644229">
          <w:rPr>
            <w:rStyle w:val="Hyperlink"/>
            <w:rFonts w:ascii="Arial" w:hAnsi="Arial" w:cs="Arial"/>
            <w:sz w:val="18"/>
            <w:szCs w:val="18"/>
          </w:rPr>
          <w:t>http://bailout.propublica.org/list/index</w:t>
        </w:r>
      </w:hyperlink>
      <w:r w:rsidRPr="00644229">
        <w:rPr>
          <w:rFonts w:ascii="Arial" w:hAnsi="Arial" w:cs="Arial"/>
          <w:sz w:val="18"/>
          <w:szCs w:val="18"/>
        </w:rPr>
        <w:t>)</w:t>
      </w:r>
    </w:p>
  </w:footnote>
  <w:footnote w:id="3">
    <w:p w:rsidR="006C398D" w:rsidRPr="00644229" w:rsidRDefault="006C398D" w:rsidP="00935FE6">
      <w:pPr>
        <w:pStyle w:val="FootnoteText"/>
        <w:spacing w:after="0"/>
        <w:rPr>
          <w:rFonts w:ascii="Arial" w:hAnsi="Arial" w:cs="Arial"/>
          <w:sz w:val="18"/>
          <w:szCs w:val="18"/>
        </w:rPr>
      </w:pPr>
      <w:r w:rsidRPr="00644229">
        <w:rPr>
          <w:rStyle w:val="FootnoteReference"/>
          <w:rFonts w:ascii="Arial" w:hAnsi="Arial" w:cs="Arial"/>
          <w:sz w:val="18"/>
          <w:szCs w:val="18"/>
        </w:rPr>
        <w:footnoteRef/>
      </w:r>
      <w:r w:rsidRPr="0064422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44229">
        <w:rPr>
          <w:rFonts w:ascii="Arial" w:hAnsi="Arial" w:cs="Arial"/>
          <w:sz w:val="18"/>
          <w:szCs w:val="18"/>
        </w:rPr>
        <w:t>Includes $12.2 billion in goodwill impairment charges.</w:t>
      </w:r>
      <w:proofErr w:type="gramEnd"/>
    </w:p>
  </w:footnote>
  <w:footnote w:id="4">
    <w:p w:rsidR="006C398D" w:rsidRDefault="006C398D" w:rsidP="00935FE6">
      <w:pPr>
        <w:pStyle w:val="FootnoteText"/>
        <w:spacing w:after="0"/>
      </w:pPr>
      <w:r w:rsidRPr="00644229">
        <w:rPr>
          <w:rStyle w:val="FootnoteReference"/>
          <w:rFonts w:ascii="Arial" w:hAnsi="Arial" w:cs="Arial"/>
          <w:sz w:val="18"/>
          <w:szCs w:val="18"/>
        </w:rPr>
        <w:footnoteRef/>
      </w:r>
      <w:r w:rsidRPr="0064422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44229">
        <w:rPr>
          <w:rFonts w:ascii="Arial" w:hAnsi="Arial" w:cs="Arial"/>
          <w:sz w:val="18"/>
          <w:szCs w:val="18"/>
        </w:rPr>
        <w:t xml:space="preserve">“Citigroup CEO Pandit’s Salary Soars $1.75m from $1,” </w:t>
      </w:r>
      <w:r w:rsidRPr="00644229">
        <w:rPr>
          <w:rFonts w:ascii="Arial" w:hAnsi="Arial" w:cs="Arial"/>
          <w:i/>
          <w:sz w:val="18"/>
          <w:szCs w:val="18"/>
        </w:rPr>
        <w:t>Reuters</w:t>
      </w:r>
      <w:r w:rsidRPr="00644229">
        <w:rPr>
          <w:rFonts w:ascii="Arial" w:hAnsi="Arial" w:cs="Arial"/>
          <w:sz w:val="18"/>
          <w:szCs w:val="18"/>
        </w:rPr>
        <w:t>, Jan. 23, 2011.</w:t>
      </w:r>
      <w:proofErr w:type="gramEnd"/>
      <w:r>
        <w:t xml:space="preserve"> </w:t>
      </w:r>
    </w:p>
  </w:footnote>
  <w:footnote w:id="5">
    <w:p w:rsidR="006C398D" w:rsidRPr="00644229" w:rsidRDefault="006C398D" w:rsidP="00935FE6">
      <w:pPr>
        <w:pStyle w:val="FootnoteText"/>
        <w:spacing w:after="0"/>
        <w:rPr>
          <w:rFonts w:ascii="Arial" w:hAnsi="Arial" w:cs="Arial"/>
          <w:sz w:val="18"/>
          <w:szCs w:val="18"/>
        </w:rPr>
      </w:pPr>
      <w:r w:rsidRPr="00644229">
        <w:rPr>
          <w:rStyle w:val="FootnoteReference"/>
          <w:rFonts w:ascii="Arial" w:hAnsi="Arial" w:cs="Arial"/>
          <w:sz w:val="18"/>
          <w:szCs w:val="18"/>
        </w:rPr>
        <w:footnoteRef/>
      </w:r>
      <w:r w:rsidRPr="0064422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44229">
        <w:rPr>
          <w:rFonts w:ascii="Arial" w:hAnsi="Arial" w:cs="Arial"/>
          <w:sz w:val="18"/>
          <w:szCs w:val="18"/>
        </w:rPr>
        <w:t>Eric Dash and Susanne Craig.</w:t>
      </w:r>
      <w:proofErr w:type="gramEnd"/>
      <w:r w:rsidRPr="00644229">
        <w:rPr>
          <w:rFonts w:ascii="Arial" w:hAnsi="Arial" w:cs="Arial"/>
          <w:sz w:val="18"/>
          <w:szCs w:val="18"/>
        </w:rPr>
        <w:t xml:space="preserve"> “Big Paydays Return With Big Profits at Wall St. Banks,” </w:t>
      </w:r>
      <w:r w:rsidRPr="00644229">
        <w:rPr>
          <w:rFonts w:ascii="Arial" w:hAnsi="Arial" w:cs="Arial"/>
          <w:i/>
          <w:sz w:val="18"/>
          <w:szCs w:val="18"/>
        </w:rPr>
        <w:t>The New York Times</w:t>
      </w:r>
      <w:r w:rsidRPr="00644229">
        <w:rPr>
          <w:rFonts w:ascii="Arial" w:hAnsi="Arial" w:cs="Arial"/>
          <w:sz w:val="18"/>
          <w:szCs w:val="18"/>
        </w:rPr>
        <w:t xml:space="preserve">, Jan. 21, 2011.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29" w:rsidRDefault="00644229" w:rsidP="0064422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64441"/>
    <w:rsid w:val="0000287C"/>
    <w:rsid w:val="000036E8"/>
    <w:rsid w:val="000214F6"/>
    <w:rsid w:val="000356E7"/>
    <w:rsid w:val="000555BA"/>
    <w:rsid w:val="00056D32"/>
    <w:rsid w:val="00067073"/>
    <w:rsid w:val="00077AE9"/>
    <w:rsid w:val="00077F70"/>
    <w:rsid w:val="0009773F"/>
    <w:rsid w:val="000A0B28"/>
    <w:rsid w:val="000A0C2D"/>
    <w:rsid w:val="000C26B8"/>
    <w:rsid w:val="000C3295"/>
    <w:rsid w:val="000D4DAC"/>
    <w:rsid w:val="000E62FB"/>
    <w:rsid w:val="00111E10"/>
    <w:rsid w:val="00113D82"/>
    <w:rsid w:val="00137874"/>
    <w:rsid w:val="001515F3"/>
    <w:rsid w:val="00151985"/>
    <w:rsid w:val="001556C3"/>
    <w:rsid w:val="00170D29"/>
    <w:rsid w:val="00176579"/>
    <w:rsid w:val="00187226"/>
    <w:rsid w:val="0019051E"/>
    <w:rsid w:val="001B3BFC"/>
    <w:rsid w:val="001C2E4F"/>
    <w:rsid w:val="001C52C5"/>
    <w:rsid w:val="001D48AE"/>
    <w:rsid w:val="001D4A7F"/>
    <w:rsid w:val="001F343B"/>
    <w:rsid w:val="001F634F"/>
    <w:rsid w:val="0021378D"/>
    <w:rsid w:val="00243E83"/>
    <w:rsid w:val="0027532F"/>
    <w:rsid w:val="00281565"/>
    <w:rsid w:val="00285E50"/>
    <w:rsid w:val="00291693"/>
    <w:rsid w:val="00291B3C"/>
    <w:rsid w:val="00296ECE"/>
    <w:rsid w:val="002A32AB"/>
    <w:rsid w:val="002B3F90"/>
    <w:rsid w:val="002D78EE"/>
    <w:rsid w:val="00312FEC"/>
    <w:rsid w:val="00313482"/>
    <w:rsid w:val="00335AF2"/>
    <w:rsid w:val="003378DF"/>
    <w:rsid w:val="00343A1A"/>
    <w:rsid w:val="00352539"/>
    <w:rsid w:val="00352EB5"/>
    <w:rsid w:val="00355541"/>
    <w:rsid w:val="00367387"/>
    <w:rsid w:val="0038029E"/>
    <w:rsid w:val="003A492F"/>
    <w:rsid w:val="003F79FD"/>
    <w:rsid w:val="00403677"/>
    <w:rsid w:val="004454C0"/>
    <w:rsid w:val="004C1235"/>
    <w:rsid w:val="004D0875"/>
    <w:rsid w:val="004E6110"/>
    <w:rsid w:val="004F1A90"/>
    <w:rsid w:val="004F68CC"/>
    <w:rsid w:val="004F6BF5"/>
    <w:rsid w:val="005303F3"/>
    <w:rsid w:val="0053489B"/>
    <w:rsid w:val="005603DB"/>
    <w:rsid w:val="00560D8E"/>
    <w:rsid w:val="00570D9E"/>
    <w:rsid w:val="005748DD"/>
    <w:rsid w:val="00582EE4"/>
    <w:rsid w:val="005A10BA"/>
    <w:rsid w:val="005A7F52"/>
    <w:rsid w:val="005D1CDE"/>
    <w:rsid w:val="005E6003"/>
    <w:rsid w:val="005F1163"/>
    <w:rsid w:val="005F6B46"/>
    <w:rsid w:val="00615991"/>
    <w:rsid w:val="00644229"/>
    <w:rsid w:val="006560B6"/>
    <w:rsid w:val="00660DBE"/>
    <w:rsid w:val="006644F9"/>
    <w:rsid w:val="00681AF4"/>
    <w:rsid w:val="006856AC"/>
    <w:rsid w:val="00685EBB"/>
    <w:rsid w:val="006A34FE"/>
    <w:rsid w:val="006B29B8"/>
    <w:rsid w:val="006B31B8"/>
    <w:rsid w:val="006B5579"/>
    <w:rsid w:val="006B7B12"/>
    <w:rsid w:val="006C398D"/>
    <w:rsid w:val="006C39BF"/>
    <w:rsid w:val="006C3D64"/>
    <w:rsid w:val="006C471D"/>
    <w:rsid w:val="006C7E67"/>
    <w:rsid w:val="006D21B5"/>
    <w:rsid w:val="006E2BA6"/>
    <w:rsid w:val="00701F59"/>
    <w:rsid w:val="007066B6"/>
    <w:rsid w:val="007118C1"/>
    <w:rsid w:val="00715188"/>
    <w:rsid w:val="00736392"/>
    <w:rsid w:val="00740197"/>
    <w:rsid w:val="00773515"/>
    <w:rsid w:val="00785C87"/>
    <w:rsid w:val="007B7000"/>
    <w:rsid w:val="007B7805"/>
    <w:rsid w:val="007F48DE"/>
    <w:rsid w:val="00805168"/>
    <w:rsid w:val="00805480"/>
    <w:rsid w:val="00806208"/>
    <w:rsid w:val="00812CF6"/>
    <w:rsid w:val="00830988"/>
    <w:rsid w:val="0083524B"/>
    <w:rsid w:val="00844116"/>
    <w:rsid w:val="008613A0"/>
    <w:rsid w:val="00866989"/>
    <w:rsid w:val="00895E15"/>
    <w:rsid w:val="008C35BA"/>
    <w:rsid w:val="008D0C5D"/>
    <w:rsid w:val="008D4C27"/>
    <w:rsid w:val="008D5D5E"/>
    <w:rsid w:val="00904CE1"/>
    <w:rsid w:val="0092679B"/>
    <w:rsid w:val="00935FE6"/>
    <w:rsid w:val="009476DC"/>
    <w:rsid w:val="00951721"/>
    <w:rsid w:val="0095311D"/>
    <w:rsid w:val="009570EE"/>
    <w:rsid w:val="0095729B"/>
    <w:rsid w:val="00963E79"/>
    <w:rsid w:val="009831F2"/>
    <w:rsid w:val="00985D0D"/>
    <w:rsid w:val="00985FA9"/>
    <w:rsid w:val="009C40A9"/>
    <w:rsid w:val="009E0F47"/>
    <w:rsid w:val="009F0789"/>
    <w:rsid w:val="009F7F90"/>
    <w:rsid w:val="00A1029B"/>
    <w:rsid w:val="00A131ED"/>
    <w:rsid w:val="00A4436D"/>
    <w:rsid w:val="00A449FA"/>
    <w:rsid w:val="00A47C8F"/>
    <w:rsid w:val="00A63C5C"/>
    <w:rsid w:val="00A94E89"/>
    <w:rsid w:val="00A95FB5"/>
    <w:rsid w:val="00A97CD2"/>
    <w:rsid w:val="00AA18D0"/>
    <w:rsid w:val="00AA5A67"/>
    <w:rsid w:val="00AE0920"/>
    <w:rsid w:val="00AE19F6"/>
    <w:rsid w:val="00B20D9B"/>
    <w:rsid w:val="00B306B3"/>
    <w:rsid w:val="00B50C88"/>
    <w:rsid w:val="00B56280"/>
    <w:rsid w:val="00B61121"/>
    <w:rsid w:val="00B64441"/>
    <w:rsid w:val="00BA3DAD"/>
    <w:rsid w:val="00BA6C8F"/>
    <w:rsid w:val="00BA7317"/>
    <w:rsid w:val="00BC5F0B"/>
    <w:rsid w:val="00BC791F"/>
    <w:rsid w:val="00BD334C"/>
    <w:rsid w:val="00C16185"/>
    <w:rsid w:val="00C30920"/>
    <w:rsid w:val="00C41D97"/>
    <w:rsid w:val="00C6391D"/>
    <w:rsid w:val="00C72956"/>
    <w:rsid w:val="00C97AD5"/>
    <w:rsid w:val="00CA7BCA"/>
    <w:rsid w:val="00CC0B52"/>
    <w:rsid w:val="00D2463F"/>
    <w:rsid w:val="00D24680"/>
    <w:rsid w:val="00D31F21"/>
    <w:rsid w:val="00D35471"/>
    <w:rsid w:val="00D43E48"/>
    <w:rsid w:val="00D56804"/>
    <w:rsid w:val="00D7561B"/>
    <w:rsid w:val="00D75E04"/>
    <w:rsid w:val="00D91AA7"/>
    <w:rsid w:val="00D9786B"/>
    <w:rsid w:val="00DE20D5"/>
    <w:rsid w:val="00DE73AF"/>
    <w:rsid w:val="00E1323B"/>
    <w:rsid w:val="00E2236D"/>
    <w:rsid w:val="00E2536E"/>
    <w:rsid w:val="00E27F16"/>
    <w:rsid w:val="00E36338"/>
    <w:rsid w:val="00E44721"/>
    <w:rsid w:val="00E549CA"/>
    <w:rsid w:val="00E55E7B"/>
    <w:rsid w:val="00E625ED"/>
    <w:rsid w:val="00E63DE3"/>
    <w:rsid w:val="00E65646"/>
    <w:rsid w:val="00E67B18"/>
    <w:rsid w:val="00E77C9F"/>
    <w:rsid w:val="00EB117C"/>
    <w:rsid w:val="00EB5D5B"/>
    <w:rsid w:val="00ED187F"/>
    <w:rsid w:val="00ED2758"/>
    <w:rsid w:val="00ED55F9"/>
    <w:rsid w:val="00EE6361"/>
    <w:rsid w:val="00EF25A5"/>
    <w:rsid w:val="00EF5B61"/>
    <w:rsid w:val="00F00CFC"/>
    <w:rsid w:val="00F076B8"/>
    <w:rsid w:val="00F147ED"/>
    <w:rsid w:val="00F22153"/>
    <w:rsid w:val="00F36CB9"/>
    <w:rsid w:val="00F37ADB"/>
    <w:rsid w:val="00F42E9A"/>
    <w:rsid w:val="00F46975"/>
    <w:rsid w:val="00F5579B"/>
    <w:rsid w:val="00F6120C"/>
    <w:rsid w:val="00F835F7"/>
    <w:rsid w:val="00F844DF"/>
    <w:rsid w:val="00FA26B2"/>
    <w:rsid w:val="00FB3AC6"/>
    <w:rsid w:val="00FB3D7A"/>
    <w:rsid w:val="00FB4A51"/>
    <w:rsid w:val="00FC511E"/>
    <w:rsid w:val="00FC5ECA"/>
    <w:rsid w:val="00FE243E"/>
    <w:rsid w:val="00FF213E"/>
    <w:rsid w:val="00F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3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3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51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C1618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214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1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7B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7B1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4F6B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56C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6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E27F1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B5579"/>
    <w:pPr>
      <w:spacing w:after="0" w:line="240" w:lineRule="auto"/>
    </w:pPr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5579"/>
    <w:rPr>
      <w:rFonts w:ascii="Consolas" w:eastAsiaTheme="minorEastAsia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29"/>
  </w:style>
  <w:style w:type="paragraph" w:styleId="Footer">
    <w:name w:val="footer"/>
    <w:basedOn w:val="Normal"/>
    <w:link w:val="FooterChar"/>
    <w:uiPriority w:val="99"/>
    <w:semiHidden/>
    <w:unhideWhenUsed/>
    <w:rsid w:val="006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sinessinsider.com/morgan-stanley-ceo-james-gorman-compensation-2011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ilout.propublica.org/lis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8868-9839-4828-944D-987DA7C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Compensation: Taking Stock</vt:lpstr>
    </vt:vector>
  </TitlesOfParts>
  <Company>AFLCIO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Compensation: Taking Stock</dc:title>
  <dc:subject/>
  <dc:creator>AFLCIO</dc:creator>
  <cp:keywords/>
  <dc:description/>
  <cp:lastModifiedBy>AFLCIO</cp:lastModifiedBy>
  <cp:revision>61</cp:revision>
  <cp:lastPrinted>2011-02-09T15:37:00Z</cp:lastPrinted>
  <dcterms:created xsi:type="dcterms:W3CDTF">2011-02-08T16:55:00Z</dcterms:created>
  <dcterms:modified xsi:type="dcterms:W3CDTF">2011-02-09T19:04:00Z</dcterms:modified>
</cp:coreProperties>
</file>